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Malgun Gothic" w:hAnsi="Malgun Gothic" w:eastAsia="맑은 고딕"/>
          <w:b/>
          <w:sz w:val="26"/>
        </w:rPr>
        <w:t>Advancing Drug Discovery and Development through Clinical Pharmacological Approaches on Organs-on-Chips — 발표 대본 (KBCS 2026, 38 슬라이드, 2026-07 개정판)</w:t>
      </w:r>
    </w:p>
    <w:p/>
    <w:p>
      <w:pPr>
        <w:spacing w:before="160" w:after="60"/>
      </w:pPr>
      <w:r>
        <w:rPr>
          <w:rFonts w:ascii="Malgun Gothic" w:hAnsi="Malgun Gothic" w:eastAsia="맑은 고딕"/>
          <w:b/>
          <w:color w:val="163A5F"/>
          <w:sz w:val="23"/>
        </w:rPr>
        <w:t>[슬라이드 1] 제목</w:t>
      </w:r>
    </w:p>
    <w:p>
      <w:pPr>
        <w:spacing w:line="360" w:lineRule="auto" w:after="160"/>
      </w:pPr>
      <w:r>
        <w:rPr>
          <w:rFonts w:ascii="Malgun Gothic" w:hAnsi="Malgun Gothic" w:eastAsia="맑은 고딕"/>
        </w:rPr>
        <w:t>안녕하십니까. 가톨릭대학교 의과대학 약리학교실 및 임상약리학과, 서울성모병원, PIPET 약동학연구소 소속 한승필입니다. 오늘 제목은 ‘임상약리학적 접근을 통한 organ-on-chip 기반 신약개발 촉진’입니다. 바이오칩 학회의 의료 현장 미충족 수요 세션에서 발표하게 되어 매우 뜻깊게 생각합니다.</w:t>
      </w:r>
    </w:p>
    <w:p>
      <w:pPr>
        <w:spacing w:before="160" w:after="60"/>
      </w:pPr>
      <w:r>
        <w:rPr>
          <w:rFonts w:ascii="Malgun Gothic" w:hAnsi="Malgun Gothic" w:eastAsia="맑은 고딕"/>
          <w:b/>
          <w:color w:val="163A5F"/>
          <w:sz w:val="23"/>
        </w:rPr>
        <w:t>[슬라이드 2] 발표 개요</w:t>
      </w:r>
    </w:p>
    <w:p>
      <w:pPr>
        <w:spacing w:line="360" w:lineRule="auto" w:after="160"/>
      </w:pPr>
      <w:r>
        <w:rPr>
          <w:rFonts w:ascii="Malgun Gothic" w:hAnsi="Malgun Gothic" w:eastAsia="맑은 고딕"/>
        </w:rPr>
        <w:t>오늘은 먼저 전임상 시스템이 왜 계속 번역에 실패하는지 짚고, 칩 신호를 사람 예측으로 바꾸는 다리인 QSP와 PBPK, 즉 임상약리학을 설명드리겠습니다. 이어서 저희가 만든 자율 LLM 기반의 개방형 QSP 라이브러리, 현재 258개 질환을 소개하고, 그 안에서 약물과 질환이 잘 결합된 사례를 다수 보여드린 뒤, 저희가 직접 수행한 장-간-신장 칩과 PBPK 결합 연구를 압축해서 말씀드리고, 마지막으로 앞으로의 웹 플랫폼 구상까지 다루겠습니다.</w:t>
      </w:r>
    </w:p>
    <w:p>
      <w:pPr>
        <w:spacing w:before="160" w:after="60"/>
      </w:pPr>
      <w:r>
        <w:rPr>
          <w:rFonts w:ascii="Malgun Gothic" w:hAnsi="Malgun Gothic" w:eastAsia="맑은 고딕"/>
          <w:b/>
          <w:color w:val="163A5F"/>
          <w:sz w:val="23"/>
        </w:rPr>
        <w:t>[슬라이드 3] 미충족 수요: 왜 전임상 시스템이 번역에 실패하는가</w:t>
      </w:r>
    </w:p>
    <w:p>
      <w:pPr>
        <w:spacing w:line="360" w:lineRule="auto" w:after="160"/>
      </w:pPr>
      <w:r>
        <w:rPr>
          <w:rFonts w:ascii="Malgun Gothic" w:hAnsi="Malgun Gothic" w:eastAsia="맑은 고딕"/>
        </w:rPr>
        <w:t>신약 승인까지 보통 십에서 십오 년, 일조에서 이조육천억 원이 들고, 임상시험에 진입한 후보물질의 약 구십 퍼센트가 환자에게 도달하지 못합니다. 2차원 세포배양은 조직 구조와 장기 수준 기능을 재현하지 못하고, 동물 모델은 종간 약물동태 차이가 남아 있습니다. 건강한 지원자 대상 1상 임상시험은 노출을 잘 특성화하지만, 정작 염증성 장질환, 급성 신손상, 간기능 장애, 임신부, 소아, 희귀질환처럼 가장 불확실한 환자군은 대부분 제외됩니다.</w:t>
      </w:r>
    </w:p>
    <w:p>
      <w:pPr>
        <w:spacing w:before="160" w:after="60"/>
      </w:pPr>
      <w:r>
        <w:rPr>
          <w:rFonts w:ascii="Malgun Gothic" w:hAnsi="Malgun Gothic" w:eastAsia="맑은 고딕"/>
          <w:b/>
          <w:color w:val="163A5F"/>
          <w:sz w:val="23"/>
        </w:rPr>
        <w:t>[슬라이드 4] Organ-on-chip과 빠져 있는 계층</w:t>
      </w:r>
    </w:p>
    <w:p>
      <w:pPr>
        <w:spacing w:line="360" w:lineRule="auto" w:after="160"/>
      </w:pPr>
      <w:r>
        <w:rPr>
          <w:rFonts w:ascii="Malgun Gothic" w:hAnsi="Malgun Gothic" w:eastAsia="맑은 고딕"/>
        </w:rPr>
        <w:t>MPS, organ-on-chip은 생리학적으로 타당한 조건에서 인체 조직 구조를 재현하여, 사람 최초 투여 이전에 약물 거동을 들여다볼 수 있는 진정으로 인간 유사한 플랫폼입니다. 그러나 칩이 주는 것은 농도-시간 프로파일과 단일 혹은 다장기 읽기 값일 뿐이고, 용량 결정에 필요한 것은 청소율과 조직 분포, 표적 결합, 그리고 무엇보다 칩 웰이 아니라 사람의 전신입니다. 비구획 분석과 PBPK, QSP 같은 임상약리학이 바로 그 다리이며, 이것이 오늘 발표 전체의 주제입니다.</w:t>
      </w:r>
    </w:p>
    <w:p>
      <w:pPr>
        <w:spacing w:before="160" w:after="60"/>
      </w:pPr>
      <w:r>
        <w:rPr>
          <w:rFonts w:ascii="Malgun Gothic" w:hAnsi="Malgun Gothic" w:eastAsia="맑은 고딕"/>
          <w:b/>
          <w:color w:val="163A5F"/>
          <w:sz w:val="23"/>
        </w:rPr>
        <w:t>[슬라이드 5] QSP와 PBPK란 무엇인가</w:t>
      </w:r>
    </w:p>
    <w:p>
      <w:pPr>
        <w:spacing w:line="360" w:lineRule="auto" w:after="160"/>
      </w:pPr>
      <w:r>
        <w:rPr>
          <w:rFonts w:ascii="Malgun Gothic" w:hAnsi="Malgun Gothic" w:eastAsia="맑은 고딕"/>
        </w:rPr>
        <w:t>PBPK와 QSP는 시스템 생물학과 약동·약력학을 결합한 분야로, 약물에서 표적, 경로, 질환, 환자로 이어지는 인과 사슬을 수학으로 기술합니다. PBPK는 약물이 사람 전신에서 어디로 가서 얼마나 되는지에 답하고, QSP는 그다음 질문, 즉 그 농도에서 질환에 무슨 일이 일어나는지에 답합니다. 이 둘을 합치면 용량 선택, 약물상호작용, 특수집단에서의 반응, 그리고 칩 데이터의 IVIVE까지 답할 수 있습니다.</w:t>
      </w:r>
    </w:p>
    <w:p>
      <w:pPr>
        <w:spacing w:before="160" w:after="60"/>
      </w:pPr>
      <w:r>
        <w:rPr>
          <w:rFonts w:ascii="Malgun Gothic" w:hAnsi="Malgun Gothic" w:eastAsia="맑은 고딕"/>
          <w:b/>
          <w:color w:val="163A5F"/>
          <w:sz w:val="23"/>
        </w:rPr>
        <w:t>[슬라이드 6] PBPK, QSP 모델의 해부</w:t>
      </w:r>
    </w:p>
    <w:p>
      <w:pPr>
        <w:spacing w:line="360" w:lineRule="auto" w:after="160"/>
      </w:pPr>
      <w:r>
        <w:rPr>
          <w:rFonts w:ascii="Malgun Gothic" w:hAnsi="Malgun Gothic" w:eastAsia="맑은 고딕"/>
        </w:rPr>
        <w:t>수학적으로 이것은 결합된 비선형 동역학계, 즉 초기값 문제입니다. 상태 변수는 약물 농도, 수용체 점유율, 신호전달 물질, 세포 집단, 바이오마커, 임상 종말점이고, 파라미터는 속도 상수와 반수 효과 농도, 최대 효과, 청소율, 결합 친화도이며, 입력은 우리가 조절할 수 있는 유일한 손잡이인 투여 요법입니다. 저희 라이브러리의 모델은 보통 열다섯에서 서른다섯 개 이상의 미분방정식과 칠십에서 백 개 이상의 파라미터로 이루어져 있습니다.</w:t>
      </w:r>
    </w:p>
    <w:p>
      <w:pPr>
        <w:spacing w:before="160" w:after="60"/>
      </w:pPr>
      <w:r>
        <w:rPr>
          <w:rFonts w:ascii="Malgun Gothic" w:hAnsi="Malgun Gothic" w:eastAsia="맑은 고딕"/>
          <w:b/>
          <w:color w:val="163A5F"/>
          <w:sz w:val="23"/>
        </w:rPr>
        <w:t>[슬라이드 7] 반복되는 비선형 구조</w:t>
      </w:r>
    </w:p>
    <w:p>
      <w:pPr>
        <w:spacing w:line="360" w:lineRule="auto" w:after="160"/>
      </w:pPr>
      <w:r>
        <w:rPr>
          <w:rFonts w:ascii="Malgun Gothic" w:hAnsi="Malgun Gothic" w:eastAsia="맑은 고딕"/>
        </w:rPr>
        <w:t>질환이 달라도 수학적 구조는 반복됩니다. 힐, 이맥스 약력학 식, 합성과 분해의 균형인 간접반응 모형, 표적 매개 약물 분포, 종양이나 혈관 재형성에서 보이는 로지스틱 성장, 그리고 적혈구생성인자 같은 거듭제곱 되먹임까지, 이 표에 보시는 다섯 가지 모티프가 258개 QSP 모델과, 오늘 뒤에 보여드릴 칩-PBPK 다리 양쪽 모두에서 똑같이 등장하는 공통 문법입니다.</w:t>
      </w:r>
    </w:p>
    <w:p>
      <w:pPr>
        <w:spacing w:before="160" w:after="60"/>
      </w:pPr>
      <w:r>
        <w:rPr>
          <w:rFonts w:ascii="Malgun Gothic" w:hAnsi="Malgun Gothic" w:eastAsia="맑은 고딕"/>
          <w:b/>
          <w:color w:val="163A5F"/>
          <w:sz w:val="23"/>
        </w:rPr>
        <w:t>[슬라이드 8] 이것이 왜 중요한가 — 모델 기반 신약개발</w:t>
      </w:r>
    </w:p>
    <w:p>
      <w:pPr>
        <w:spacing w:line="360" w:lineRule="auto" w:after="160"/>
      </w:pPr>
      <w:r>
        <w:rPr>
          <w:rFonts w:ascii="Malgun Gothic" w:hAnsi="Malgun Gothic" w:eastAsia="맑은 고딕"/>
        </w:rPr>
        <w:t>PBPK와 QSP는 규제기관도 권장하는 모델 기반 신약개발, MIDD의 핵심 도구입니다. 표적 검증 단계에서 가망 없는 표적을 일찍 솎아내고, 최초 인체투여 용량을 기전 기반으로 정하며, 가상 환자로 임상시험을 설계하고, 칩에서 동물, 사람으로의 외삽을 뒷받침하며, 병용요법의 시너지를 미리 탐색합니다. 규제기관은 이미 이것을 적극적으로 지지하고 있습니다.</w:t>
      </w:r>
    </w:p>
    <w:p>
      <w:pPr>
        <w:spacing w:before="160" w:after="60"/>
      </w:pPr>
      <w:r>
        <w:rPr>
          <w:rFonts w:ascii="Malgun Gothic" w:hAnsi="Malgun Gothic" w:eastAsia="맑은 고딕"/>
          <w:b/>
          <w:color w:val="163A5F"/>
          <w:sz w:val="23"/>
        </w:rPr>
        <w:t>[슬라이드 9] Organ-on-chip을 위한 규제의 순풍</w:t>
      </w:r>
    </w:p>
    <w:p>
      <w:pPr>
        <w:spacing w:line="360" w:lineRule="auto" w:after="160"/>
      </w:pPr>
      <w:r>
        <w:rPr>
          <w:rFonts w:ascii="Malgun Gothic" w:hAnsi="Malgun Gothic" w:eastAsia="맑은 고딕"/>
        </w:rPr>
        <w:t>미국 FDA 현대화법 2.0은 일부 동물시험을 대체할 새로운 접근 방법론, 그중에서도 MPS의 활용을 명시적으로 열어 두었습니다. MIDD는 이미 PBPK, QSP 수준의 정량적 패키지를 기대하는 확립된 경로이며, MPS 데이터를 이런 워크플로에 통합하는 것이 규제 승인으로 가는 신뢰할 수 있는 경로입니다.</w:t>
      </w:r>
    </w:p>
    <w:p>
      <w:pPr>
        <w:spacing w:before="160" w:after="60"/>
      </w:pPr>
      <w:r>
        <w:rPr>
          <w:rFonts w:ascii="Malgun Gothic" w:hAnsi="Malgun Gothic" w:eastAsia="맑은 고딕"/>
          <w:b/>
          <w:color w:val="163A5F"/>
          <w:sz w:val="23"/>
        </w:rPr>
        <w:t>[슬라이드 10] 병목: 전통적으로 QSP 모델 하나를 만드는 비용</w:t>
      </w:r>
    </w:p>
    <w:p>
      <w:pPr>
        <w:spacing w:line="360" w:lineRule="auto" w:after="160"/>
      </w:pPr>
      <w:r>
        <w:rPr>
          <w:rFonts w:ascii="Malgun Gothic" w:hAnsi="Malgun Gothic" w:eastAsia="맑은 고딕"/>
        </w:rPr>
        <w:t>방대한 문헌 종합, 미분방정식 수립과 파라미터화, 소프트웨어 구현과 보정까지, 전통적으로 QSP 모델 하나에는 전문가의 수개월에서 수년이 듭니다. 그 결과 극소수 질환만 모델을 갖고, 모델은 닫혀 있고 재현이 어려우며, 긴 꼬리에 해당하는 대부분의 질환, 즉 대부분의 칩 프로그램이 다루는 질환은 끝내 모델을 얻지 못합니다.</w:t>
      </w:r>
    </w:p>
    <w:p>
      <w:pPr>
        <w:spacing w:before="160" w:after="60"/>
      </w:pPr>
      <w:r>
        <w:rPr>
          <w:rFonts w:ascii="Malgun Gothic" w:hAnsi="Malgun Gothic" w:eastAsia="맑은 고딕"/>
          <w:b/>
          <w:color w:val="163A5F"/>
          <w:sz w:val="23"/>
        </w:rPr>
        <w:t>[슬라이드 11] 핵심 제안: LLM 기반 모델 생성</w:t>
      </w:r>
    </w:p>
    <w:p>
      <w:pPr>
        <w:spacing w:line="360" w:lineRule="auto" w:after="160"/>
      </w:pPr>
      <w:r>
        <w:rPr>
          <w:rFonts w:ascii="Malgun Gothic" w:hAnsi="Malgun Gothic" w:eastAsia="맑은 고딕"/>
        </w:rPr>
        <w:t>저희의 제안은, 자율적인 거대언어모델 코딩 에이전트를 이용해 품질이 통제되고 문헌 근거가 붙은 완결된 QSP 모델을 하루에 한 질환 속도로 만드는 것입니다. 각 모델은 Graphviz 기계론적 지도, mrgsolve 미분방정식 모델, Shiny 대시보드, 정리된 참고문헌까지 네 가지 산출물로 구성되며, 품질 게이트와 문헌 근거, 표준화된 스키마, 재현 가능한 코드라는 내장 원칙을 따릅니다.</w:t>
      </w:r>
    </w:p>
    <w:p>
      <w:pPr>
        <w:spacing w:before="160" w:after="60"/>
      </w:pPr>
      <w:r>
        <w:rPr>
          <w:rFonts w:ascii="Malgun Gothic" w:hAnsi="Malgun Gothic" w:eastAsia="맑은 고딕"/>
          <w:b/>
          <w:color w:val="163A5F"/>
          <w:sz w:val="23"/>
        </w:rPr>
        <w:t>[슬라이드 12] 클로드 코드 루틴 — 자율 일일 루프</w:t>
      </w:r>
    </w:p>
    <w:p>
      <w:pPr>
        <w:spacing w:line="360" w:lineRule="auto" w:after="160"/>
      </w:pPr>
      <w:r>
        <w:rPr>
          <w:rFonts w:ascii="Malgun Gothic" w:hAnsi="Malgun Gothic" w:eastAsia="맑은 고딕"/>
        </w:rPr>
        <w:t>이 엔진은 대략 매일 한 번 작동하는 스케줄 기반 코딩 에이전트로, 한 번 작동할 때마다 한 질환을 처음부터 끝까지 완성하고 푸시합니다. 다루지 않은 질환을 고르고, 약 오십 편의 문헌을 종합하고, 백 개 이상 노드의 지도를 그리고, 열다섯 개 이상의 미분방정식을 쓰고, 여섯 개 이상 탭의 대시보드를 만들고, 참고문헌을 정리한 뒤, 세션을 어중간하게 끝낼 수 없게 만드는 깃 정지 훅의 강제 아래 자동으로 커밋하고 푸시합니다.</w:t>
      </w:r>
    </w:p>
    <w:p>
      <w:pPr>
        <w:spacing w:before="160" w:after="60"/>
      </w:pPr>
      <w:r>
        <w:rPr>
          <w:rFonts w:ascii="Malgun Gothic" w:hAnsi="Malgun Gothic" w:eastAsia="맑은 고딕"/>
          <w:b/>
          <w:color w:val="163A5F"/>
          <w:sz w:val="23"/>
        </w:rPr>
        <w:t>[슬라이드 13] 안전장치 — LLM이 쓴 코드를 어떻게 신뢰하는가</w:t>
      </w:r>
    </w:p>
    <w:p>
      <w:pPr>
        <w:spacing w:line="360" w:lineRule="auto" w:after="160"/>
      </w:pPr>
      <w:r>
        <w:rPr>
          <w:rFonts w:ascii="Malgun Gothic" w:hAnsi="Malgun Gothic" w:eastAsia="맑은 고딕"/>
        </w:rPr>
        <w:t>지도는 노드 백 개, 클러스터 여덟 개 이상, 모델은 구획 열다섯 개와 시나리오 다섯 개 이상, 대시보드는 탭 여섯 개 이상, 참고문헌은 서른 편 이상이라는 품질 게이트를 강제합니다. 힐, 턴오버, TMDD 같은 재사용 가능한 구조적 템플릿이 잘못될 여지를 줄이고, 모든 파라미터에는 임상시험을 인용한 보정 메모가 붙어 환각을 막으며, 모든 것이 깃 안의 코드이므로 비교하고 감사할 수 있고, 사용 전에는 사람이 검토합니다.</w:t>
      </w:r>
    </w:p>
    <w:p>
      <w:pPr>
        <w:spacing w:before="160" w:after="60"/>
      </w:pPr>
      <w:r>
        <w:rPr>
          <w:rFonts w:ascii="Malgun Gothic" w:hAnsi="Malgun Gothic" w:eastAsia="맑은 고딕"/>
          <w:b/>
          <w:color w:val="163A5F"/>
          <w:sz w:val="23"/>
        </w:rPr>
        <w:t>[슬라이드 14] 왜 LLM/AI가 적합한 엔진인가</w:t>
      </w:r>
    </w:p>
    <w:p>
      <w:pPr>
        <w:spacing w:line="360" w:lineRule="auto" w:after="160"/>
      </w:pPr>
      <w:r>
        <w:rPr>
          <w:rFonts w:ascii="Malgun Gothic" w:hAnsi="Malgun Gothic" w:eastAsia="맑은 고딕"/>
        </w:rPr>
        <w:t>지치지 않고 연속적으로 작동해 여러 산출물로 이루어진 질환 모델을 거의 매일 하나씩 완성하는 것은 어떤 사람 팀도 지속하지 못하는 속도입니다. 라이브러리 전체로 약 만이천팔백 편의 문헌을 통합하고, 258개 질환과 수백 가지 약물, 표적을 하나의 일관된 틀로 다루며, 표준화되어 비교 가능하고, 전문가의 수개월을 수 시간으로 줄입니다.</w:t>
      </w:r>
    </w:p>
    <w:p>
      <w:pPr>
        <w:spacing w:before="160" w:after="60"/>
      </w:pPr>
      <w:r>
        <w:rPr>
          <w:rFonts w:ascii="Malgun Gothic" w:hAnsi="Malgun Gothic" w:eastAsia="맑은 고딕"/>
          <w:b/>
          <w:color w:val="163A5F"/>
          <w:sz w:val="23"/>
        </w:rPr>
        <w:t>[슬라이드 15] 각 모델에 들어 있는 것</w:t>
      </w:r>
    </w:p>
    <w:p>
      <w:pPr>
        <w:spacing w:line="360" w:lineRule="auto" w:after="160"/>
      </w:pPr>
      <w:r>
        <w:rPr>
          <w:rFonts w:ascii="Malgun Gothic" w:hAnsi="Malgun Gothic" w:eastAsia="맑은 고딕"/>
        </w:rPr>
        <w:t>모든 모델은 경로에서 표적, 질환으로 이어지는 기계론적 지도, 약물 약동학과 질환 약력학을 결합한 mrgsolve 미분방정식 모델로 열다섯에서 서른다섯 개 이상의 상태변수를 가지며, 환자 프로파일과 PK, 종말점을 보여주는 인터랙티브 Shiny 대시보드, 그리고 모델당 약 오십 편의 참고문헌까지 네 가지를 일관되게 제공합니다. 이것이 바로 여러분의 칩 데이터가 연결되어야 할 구조입니다.</w:t>
      </w:r>
    </w:p>
    <w:p>
      <w:pPr>
        <w:spacing w:before="160" w:after="60"/>
      </w:pPr>
      <w:r>
        <w:rPr>
          <w:rFonts w:ascii="Malgun Gothic" w:hAnsi="Malgun Gothic" w:eastAsia="맑은 고딕"/>
          <w:b/>
          <w:color w:val="163A5F"/>
          <w:sz w:val="23"/>
        </w:rPr>
        <w:t>[슬라이드 16] 규모: 258개 모델의 열린 QSP 라이브러리</w:t>
      </w:r>
    </w:p>
    <w:p>
      <w:pPr>
        <w:spacing w:line="360" w:lineRule="auto" w:after="160"/>
      </w:pPr>
      <w:r>
        <w:rPr>
          <w:rFonts w:ascii="Malgun Gothic" w:hAnsi="Malgun Gothic" w:eastAsia="맑은 고딕"/>
        </w:rPr>
        <w:t>현재 258개의 질환 모델, 약 열여덟 개 치료 영역, 259개의 미분방정식 시스템, 약 삼천백 개의 경로 클러스터, 약 만이천팔백 편의 참고문헌이 있으며 지금도 거의 매일 하나씩 늘어납니다. 전통적 QSP가 손에 꼽는 질환에 전문가 수개월씩 들였다면, 이 라이브러리는 258개 질환에 각각 몇 시간, 점진적 개선이 아니라 단계의 도약입니다.</w:t>
      </w:r>
    </w:p>
    <w:p>
      <w:pPr>
        <w:spacing w:before="160" w:after="60"/>
      </w:pPr>
      <w:r>
        <w:rPr>
          <w:rFonts w:ascii="Malgun Gothic" w:hAnsi="Malgun Gothic" w:eastAsia="맑은 고딕"/>
          <w:b/>
          <w:color w:val="163A5F"/>
          <w:sz w:val="23"/>
        </w:rPr>
        <w:t>[슬라이드 17] 적용 범위의 폭</w:t>
      </w:r>
    </w:p>
    <w:p>
      <w:pPr>
        <w:spacing w:line="360" w:lineRule="auto" w:after="160"/>
      </w:pPr>
      <w:r>
        <w:rPr>
          <w:rFonts w:ascii="Malgun Gothic" w:hAnsi="Malgun Gothic" w:eastAsia="맑은 고딕"/>
        </w:rPr>
        <w:t>종양학, 자가면역, 혈관염, 심혈관, 호흡기, 신장, 소화기, 내분비, 신경, 정신, 피부, 감염, 안과, 희귀유전질환까지 하나의 일관된 틀이 인간 질환의 스펙트럼을 가로지릅니다. 유방암과 폐암 같은 암, 파브리병 같은 희귀질환, 당뇨와 심부전 같은 만성질환, 루푸스와 겸상적혈구병 같은 면역·혈액 질환까지 수백 가지 약물과 표적이 들어 있어, 여러분의 칩과 관련된 것이 있을 가능성이 매우 높습니다.</w:t>
      </w:r>
    </w:p>
    <w:p>
      <w:pPr>
        <w:spacing w:before="160" w:after="60"/>
      </w:pPr>
      <w:r>
        <w:rPr>
          <w:rFonts w:ascii="Malgun Gothic" w:hAnsi="Malgun Gothic" w:eastAsia="맑은 고딕"/>
          <w:b/>
          <w:color w:val="163A5F"/>
          <w:sz w:val="23"/>
        </w:rPr>
        <w:t>[슬라이드 18] 사례 연구: 약물, 표적, 종말점</w:t>
      </w:r>
    </w:p>
    <w:p>
      <w:pPr>
        <w:spacing w:line="360" w:lineRule="auto" w:after="160"/>
      </w:pPr>
      <w:r>
        <w:rPr>
          <w:rFonts w:ascii="Malgun Gothic" w:hAnsi="Malgun Gothic" w:eastAsia="맑은 고딕"/>
        </w:rPr>
        <w:t>이 표는 라이브러리가 이미 다루는 약물-표적-종말점 관계의 일부입니다. 류마티스 관절염의 토실리주맙, 건선의 세쿠키누맙, 제2형 당뇨의 세마글루타이드, 심부전의 사쿠비트릴-발사르탄, 만성폐쇄성폐질환의 삼중요법, 비소세포폐암의 오시머티닙, 만성골수성백혈병의 이매티닙, 폐동맥고혈압의 마시텐탄, IgA 신병증의 스파르센탄, 겸상적혈구병의 복셀로토르, 다발골수종의 다라투무맙, 그리고 자궁내막증의 메리고릭스까지, 모든 약물-표적-종말점 관계가 임상 문헌에 근거합니다.</w:t>
      </w:r>
    </w:p>
    <w:p>
      <w:pPr>
        <w:spacing w:before="160" w:after="60"/>
      </w:pPr>
      <w:r>
        <w:rPr>
          <w:rFonts w:ascii="Malgun Gothic" w:hAnsi="Malgun Gothic" w:eastAsia="맑은 고딕"/>
          <w:b/>
          <w:color w:val="163A5F"/>
          <w:sz w:val="23"/>
        </w:rPr>
        <w:t>[슬라이드 19] 사례 연구 — 한 가지 통찰씩 (1/2)</w:t>
      </w:r>
    </w:p>
    <w:p>
      <w:pPr>
        <w:spacing w:line="360" w:lineRule="auto" w:after="160"/>
      </w:pPr>
      <w:r>
        <w:rPr>
          <w:rFonts w:ascii="Malgun Gothic" w:hAnsi="Malgun Gothic" w:eastAsia="맑은 고딕"/>
        </w:rPr>
        <w:t>비소세포폐암에서는 오시머티닙에 대한 내성 클론의 출현 시점을 모델이 예측해 병용이나 순차 치료의 근거를 줍니다. 박출률 감소 심부전에서는 네 가지 약제의 투여 순서와 증량 속도를 역재형성과 견주어 탐색합니다. 트랜스티레틴 아밀로이드증에서는 유전자 침묵 치료의 사량체-단량체 동역학과 수년에 걸친 장기 부담을 따라갑니다.</w:t>
      </w:r>
    </w:p>
    <w:p>
      <w:pPr>
        <w:spacing w:before="160" w:after="60"/>
      </w:pPr>
      <w:r>
        <w:rPr>
          <w:rFonts w:ascii="Malgun Gothic" w:hAnsi="Malgun Gothic" w:eastAsia="맑은 고딕"/>
          <w:b/>
          <w:color w:val="163A5F"/>
          <w:sz w:val="23"/>
        </w:rPr>
        <w:t>[슬라이드 20] 사례 연구 — 한 가지 통찰씩 (2/2)</w:t>
      </w:r>
    </w:p>
    <w:p>
      <w:pPr>
        <w:spacing w:line="360" w:lineRule="auto" w:after="160"/>
      </w:pPr>
      <w:r>
        <w:rPr>
          <w:rFonts w:ascii="Malgun Gothic" w:hAnsi="Malgun Gothic" w:eastAsia="맑은 고딕"/>
        </w:rPr>
        <w:t>전신홍반루푸스에서는 항인터페론 항체가 인터페론 신호를 억제하는 사슬을 연결합니다. 제2형 당뇨에서는 인크레틴 약물의 포도당-인슐린-체중 되먹임을 봅니다. 면역혈소판감소증에서는 혈소판 생성과 파괴의 균형을 통해 트롬보포이에틴 수용체 작용제의 효과를 봅니다.</w:t>
      </w:r>
    </w:p>
    <w:p>
      <w:pPr>
        <w:spacing w:before="160" w:after="60"/>
      </w:pPr>
      <w:r>
        <w:rPr>
          <w:rFonts w:ascii="Malgun Gothic" w:hAnsi="Malgun Gothic" w:eastAsia="맑은 고딕"/>
          <w:b/>
          <w:color w:val="163A5F"/>
          <w:sz w:val="23"/>
        </w:rPr>
        <w:t>[슬라이드 21] 심층 사례 — IgA 신병증</w:t>
      </w:r>
    </w:p>
    <w:p>
      <w:pPr>
        <w:spacing w:line="360" w:lineRule="auto" w:after="160"/>
      </w:pPr>
      <w:r>
        <w:rPr>
          <w:rFonts w:ascii="Malgun Gothic" w:hAnsi="Malgun Gothic" w:eastAsia="맑은 고딕"/>
        </w:rPr>
        <w:t>갈락토스 결핍 IgA1에서 시작해 자가항체, 면역복합체, 메산지움 침착과 보체 활성화로 이어지는 네 단계 가설을 모델링했습니다. RAAS 차단, 부데소니드, 스파르센탄, 입타코판, 시베프렌리맙까지 다섯 가지 약물을 담았고, 단백뇨와 eGFR 기울기를 주요 임상시험으로 보정했습니다. 스무 개의 미분방정식, 일곱 개 시나리오입니다.</w:t>
      </w:r>
    </w:p>
    <w:p>
      <w:pPr>
        <w:spacing w:before="160" w:after="60"/>
      </w:pPr>
      <w:r>
        <w:rPr>
          <w:rFonts w:ascii="Malgun Gothic" w:hAnsi="Malgun Gothic" w:eastAsia="맑은 고딕"/>
          <w:b/>
          <w:color w:val="163A5F"/>
          <w:sz w:val="23"/>
        </w:rPr>
        <w:t>[슬라이드 22] 심층 사례 — 겸상적혈구병</w:t>
      </w:r>
    </w:p>
    <w:p>
      <w:pPr>
        <w:spacing w:line="360" w:lineRule="auto" w:after="160"/>
      </w:pPr>
      <w:r>
        <w:rPr>
          <w:rFonts w:ascii="Malgun Gothic" w:hAnsi="Malgun Gothic" w:eastAsia="맑은 고딕"/>
        </w:rPr>
        <w:t>탈산소 HbS의 중합에서 시작해 용혈, 산화질소 소모, 내피 활성화, 혈관폐색성 발작으로 이어지는 사슬을 모델링했습니다. 하이드록시유레아, 복셀로토르, 크리잔리주맙, L-글루타민을 담았고, 혈색소와 태아혈색소 비율, 혈관폐색 빈도를 주요 임상시험으로 보정했습니다. 스물네 개의 미분방정식과 거듭제곱 조혈 되먹임을 포함합니다.</w:t>
      </w:r>
    </w:p>
    <w:p>
      <w:pPr>
        <w:spacing w:before="160" w:after="60"/>
      </w:pPr>
      <w:r>
        <w:rPr>
          <w:rFonts w:ascii="Malgun Gothic" w:hAnsi="Malgun Gothic" w:eastAsia="맑은 고딕"/>
          <w:b/>
          <w:color w:val="163A5F"/>
          <w:sz w:val="23"/>
        </w:rPr>
        <w:t>[슬라이드 23] 심층 사례 — 다발골수종</w:t>
      </w:r>
    </w:p>
    <w:p>
      <w:pPr>
        <w:spacing w:line="360" w:lineRule="auto" w:after="160"/>
      </w:pPr>
      <w:r>
        <w:rPr>
          <w:rFonts w:ascii="Malgun Gothic" w:hAnsi="Malgun Gothic" w:eastAsia="맑은 고딕"/>
        </w:rPr>
        <w:t>골수 형질세포 클론의 단클론 단백 분비, 인터루킨 식스 자가분비 성장, RANKL-OPG 불균형에 의한 골 질환을 모델링했습니다. 프로테아솜 억제제, 레날리도마이드, 다라투무맙, 베네토클락스, 졸레드론산을 담았고, M단백과 유리경쇄를 여러 표준 병용요법으로 추적합니다. 로지스틱 성장에 내성 클론과 표적 매개 분포를 결합한 종양학의 대표 사례입니다.</w:t>
      </w:r>
    </w:p>
    <w:p>
      <w:pPr>
        <w:spacing w:before="160" w:after="60"/>
      </w:pPr>
      <w:r>
        <w:rPr>
          <w:rFonts w:ascii="Malgun Gothic" w:hAnsi="Malgun Gothic" w:eastAsia="맑은 고딕"/>
          <w:b/>
          <w:color w:val="163A5F"/>
          <w:sz w:val="23"/>
        </w:rPr>
        <w:t>[슬라이드 24] 대표 사례 — 메리고릭스, 실제로 살아있는 약물-질환 모델</w:t>
      </w:r>
    </w:p>
    <w:p>
      <w:pPr>
        <w:spacing w:line="360" w:lineRule="auto" w:after="160"/>
      </w:pPr>
      <w:r>
        <w:rPr>
          <w:rFonts w:ascii="Malgun Gothic" w:hAnsi="Malgun Gothic" w:eastAsia="맑은 고딕"/>
        </w:rPr>
        <w:t>메리고릭스는 자궁내막증을 위한 경구 성선자극호르몬분비호르몬 길항제로, 황체형성호르몬과 난포자극호르몬을 낮추어 에스트라디올을 억제하고 병변과 통증을 줄입니다. 이가구획 약동학과 시상하부-뇌하수체-생식샘 축 약력학을 결합했고, 통증과 병변 크기, 안면홍조, 골밀도, 자궁내막 두께까지 하나의 미분방정식 계로 묶었습니다. 화면 하단의 주소로 실제 배포된 대시보드에 지금 바로 접속하실 수 있습니다.</w:t>
      </w:r>
    </w:p>
    <w:p>
      <w:pPr>
        <w:spacing w:before="160" w:after="60"/>
      </w:pPr>
      <w:r>
        <w:rPr>
          <w:rFonts w:ascii="Malgun Gothic" w:hAnsi="Malgun Gothic" w:eastAsia="맑은 고딕"/>
          <w:b/>
          <w:color w:val="163A5F"/>
          <w:sz w:val="23"/>
        </w:rPr>
        <w:t>[슬라이드 25] 메리고릭스 — 에스트로겐 역치 절충</w:t>
      </w:r>
    </w:p>
    <w:p>
      <w:pPr>
        <w:spacing w:line="360" w:lineRule="auto" w:after="160"/>
      </w:pPr>
      <w:r>
        <w:rPr>
          <w:rFonts w:ascii="Malgun Gothic" w:hAnsi="Malgun Gothic" w:eastAsia="맑은 고딕"/>
        </w:rPr>
        <w:t>에스트라디올을 너무 적게 억제하면 증상 완화가 없고 너무 많이 억제하면 안면홍조와 골 소실이 옵니다. 이번 시뮬레이션에서는 통증이 삼점일에서 일점일로, 병변이 십팔점오에서 오점삼 밀리미터로 줄었지만 골밀도는 일점이이 퍼센트 감소하고 안면홍조는 늘었습니다. QSP는 이런 임상적 절충을 조절 가능한 최적화 문제로 바꿉니다.</w:t>
      </w:r>
    </w:p>
    <w:p>
      <w:pPr>
        <w:spacing w:before="160" w:after="60"/>
      </w:pPr>
      <w:r>
        <w:rPr>
          <w:rFonts w:ascii="Malgun Gothic" w:hAnsi="Malgun Gothic" w:eastAsia="맑은 고딕"/>
          <w:b/>
          <w:color w:val="163A5F"/>
          <w:sz w:val="23"/>
        </w:rPr>
        <w:t>[슬라이드 26] 갤러리 — 라이브러리의 일부</w:t>
      </w:r>
    </w:p>
    <w:p>
      <w:pPr>
        <w:spacing w:line="360" w:lineRule="auto" w:after="160"/>
      </w:pPr>
      <w:r>
        <w:rPr>
          <w:rFonts w:ascii="Malgun Gothic" w:hAnsi="Malgun Gothic" w:eastAsia="맑은 고딕"/>
        </w:rPr>
        <w:t>종양학, 자가면역, 심혈관, 신장, 대사, 신경, 희귀질환까지 걸친 기계론적 지도 중 일부입니다. 각각이 한 번의 자율적 빌드로 만들어진 결과물입니다.</w:t>
      </w:r>
    </w:p>
    <w:p>
      <w:pPr>
        <w:spacing w:before="160" w:after="60"/>
      </w:pPr>
      <w:r>
        <w:rPr>
          <w:rFonts w:ascii="Malgun Gothic" w:hAnsi="Malgun Gothic" w:eastAsia="맑은 고딕"/>
          <w:b/>
          <w:color w:val="163A5F"/>
          <w:sz w:val="23"/>
        </w:rPr>
        <w:t>[슬라이드 27] 이것이 여러분의 칩 프로그램에 직접 어떻게 도움이 되는가</w:t>
      </w:r>
    </w:p>
    <w:p>
      <w:pPr>
        <w:spacing w:line="360" w:lineRule="auto" w:after="160"/>
      </w:pPr>
      <w:r>
        <w:rPr>
          <w:rFonts w:ascii="Malgun Gothic" w:hAnsi="Malgun Gothic" w:eastAsia="맑은 고딕"/>
        </w:rPr>
        <w:t>사이토카인, 수송체, 수용체, 혹은 질환을 대상으로 칩을 만들고 계신다면 이미 관련 QSP 모델이 존재할 가능성이 높습니다. 칩 실험을 설계하기 전 연구 가설을 얻는 데 쓰시거나, 오늘 뒤에 보여드릴 저희 사례처럼 여러분 자신의 칩-PBPK 다리 위에 얹을 질환 계층으로 활용하실 수 있습니다. 258개 모델을 전부 다루시라는 것이 아니라, 여러분이 이미 다루는 분자와 약물, 질환의 translation을 가속하는 플랫폼이 되는 것이 목표입니다.</w:t>
      </w:r>
    </w:p>
    <w:p>
      <w:pPr>
        <w:spacing w:before="160" w:after="60"/>
      </w:pPr>
      <w:r>
        <w:rPr>
          <w:rFonts w:ascii="Malgun Gothic" w:hAnsi="Malgun Gothic" w:eastAsia="맑은 고딕"/>
          <w:b/>
          <w:color w:val="163A5F"/>
          <w:sz w:val="23"/>
        </w:rPr>
        <w:t>[슬라이드 28] 완전히 개방됨</w:t>
      </w:r>
    </w:p>
    <w:p>
      <w:pPr>
        <w:spacing w:line="360" w:lineRule="auto" w:after="160"/>
      </w:pPr>
      <w:r>
        <w:rPr>
          <w:rFonts w:ascii="Malgun Gothic" w:hAnsi="Malgun Gothic" w:eastAsia="맑은 고딕"/>
        </w:rPr>
        <w:t>github.com/pipetcpt/qsp 에서 모든 기계론적 지도, 미분방정식 모델, Shiny 대시보드, 참고문헌을 커밋 단위로 공개하고 있습니다. 매 슬라이드 우측 상단의 QR코드가 바로 이 저장소로 연결됩니다.</w:t>
      </w:r>
    </w:p>
    <w:p>
      <w:pPr>
        <w:spacing w:before="160" w:after="60"/>
      </w:pPr>
      <w:r>
        <w:rPr>
          <w:rFonts w:ascii="Malgun Gothic" w:hAnsi="Malgun Gothic" w:eastAsia="맑은 고딕"/>
          <w:b/>
          <w:color w:val="163A5F"/>
          <w:sz w:val="23"/>
        </w:rPr>
        <w:t>[슬라이드 29] 앞으로의 방향: 브라우저 기반 PBPK/QSP 플랫폼</w:t>
      </w:r>
    </w:p>
    <w:p>
      <w:pPr>
        <w:spacing w:line="360" w:lineRule="auto" w:after="160"/>
      </w:pPr>
      <w:r>
        <w:rPr>
          <w:rFonts w:ascii="Malgun Gothic" w:hAnsi="Malgun Gothic" w:eastAsia="맑은 고딕"/>
        </w:rPr>
        <w:t>복잡한 미분방정식 시스템은 실질적인 진입장벽입니다. 설치 없이 브라우저만으로 질환이나 표적, 약물로 검색하고, 지도와 미분방정식 구조를 둘러보고, 용량을 바꿔 즉시 그래프를 보는 간단한 시뮬레이션을 돌리고, 그 파라미터를 여러분의 워크플로로 내보낼 수 있는 웹 플랫폼을 만들고자 합니다.</w:t>
      </w:r>
    </w:p>
    <w:p>
      <w:pPr>
        <w:spacing w:before="160" w:after="60"/>
      </w:pPr>
      <w:r>
        <w:rPr>
          <w:rFonts w:ascii="Malgun Gothic" w:hAnsi="Malgun Gothic" w:eastAsia="맑은 고딕"/>
          <w:b/>
          <w:color w:val="163A5F"/>
          <w:sz w:val="23"/>
        </w:rPr>
        <w:t>[슬라이드 30] 칩에서 나온 숫자를 신뢰하기 위한 전제조건</w:t>
      </w:r>
    </w:p>
    <w:p>
      <w:pPr>
        <w:spacing w:line="360" w:lineRule="auto" w:after="160"/>
      </w:pPr>
      <w:r>
        <w:rPr>
          <w:rFonts w:ascii="Malgun Gothic" w:hAnsi="Malgun Gothic" w:eastAsia="맑은 고딕"/>
        </w:rPr>
        <w:t>칩 숫자가 PBPK, QSP 모델 안에서 신뢰받으려면 네 가지를 점검해야 합니다. 플라스틱 흡착 같은 칩 특유의 거동, 세포 수 스케일링, 남겨 둔 임상 데이터로의 검증, 그리고 숫자를 맞추기 위한 임의적 맞춤이 아닌 명시적이고 반증 가능한 보정 규칙입니다. 지금부터 보여드릴 저희 사례 연구는 바로 이 원칙이 실제로 가능한지 시험하기 위해 설계되었습니다.</w:t>
      </w:r>
    </w:p>
    <w:p>
      <w:pPr>
        <w:spacing w:before="160" w:after="60"/>
      </w:pPr>
      <w:r>
        <w:rPr>
          <w:rFonts w:ascii="Malgun Gothic" w:hAnsi="Malgun Gothic" w:eastAsia="맑은 고딕"/>
          <w:b/>
          <w:color w:val="163A5F"/>
          <w:sz w:val="23"/>
        </w:rPr>
        <w:t>[슬라이드 31] 저희의 사례 연구: 장-간-신장 MPS + PBPK</w:t>
      </w:r>
    </w:p>
    <w:p>
      <w:pPr>
        <w:spacing w:line="360" w:lineRule="auto" w:after="160"/>
      </w:pPr>
      <w:r>
        <w:rPr>
          <w:rFonts w:ascii="Malgun Gothic" w:hAnsi="Malgun Gothic" w:eastAsia="맑은 고딕"/>
        </w:rPr>
        <w:t>모듈형 장-간-신장 MPS를 공유 배지 순환으로 연결하고, 칩에서 맞춘 파라미터를 전신 PBPK로 전파했습니다. 사람의 약동학 데이터는 예측 과정에 전혀 들어가지 않으며, 여섯 개 약물, 스물네 건의 임상 관측치 전부를 사후 검증에만 사용했습니다. 전체 AUC GMFE는 1.85배, 스물네 건 모두가 4배 이내였습니다.</w:t>
      </w:r>
    </w:p>
    <w:p>
      <w:pPr>
        <w:spacing w:before="160" w:after="60"/>
      </w:pPr>
      <w:r>
        <w:rPr>
          <w:rFonts w:ascii="Malgun Gothic" w:hAnsi="Malgun Gothic" w:eastAsia="맑은 고딕"/>
          <w:b/>
          <w:color w:val="163A5F"/>
          <w:sz w:val="23"/>
        </w:rPr>
        <w:t>[슬라이드 32] 모델이 사람 약동학을 잘 예측한다</w:t>
      </w:r>
    </w:p>
    <w:p>
      <w:pPr>
        <w:spacing w:line="360" w:lineRule="auto" w:after="160"/>
      </w:pPr>
      <w:r>
        <w:rPr>
          <w:rFonts w:ascii="Malgun Gothic" w:hAnsi="Malgun Gothic" w:eastAsia="맑은 고딕"/>
        </w:rPr>
        <w:t>이 그래프가 오늘 발표에서 유일하게 사용하는 원본 그림입니다. 왼쪽은 예측 대 관측 AUC로 GMFE 1.85배, 2배 이내 열다섯 건, 4배 이내 스물네 건 전부입니다. 오른쪽은 Cmax로 GMFE 2.55배입니다. 여섯 가지 서로 다른 기전의 약물 모두에서 이 정도의 일치를 얻었습니다.</w:t>
      </w:r>
    </w:p>
    <w:p>
      <w:pPr>
        <w:spacing w:before="160" w:after="60"/>
      </w:pPr>
      <w:r>
        <w:rPr>
          <w:rFonts w:ascii="Malgun Gothic" w:hAnsi="Malgun Gothic" w:eastAsia="맑은 고딕"/>
          <w:b/>
          <w:color w:val="163A5F"/>
          <w:sz w:val="23"/>
        </w:rPr>
        <w:t>[슬라이드 33] 작동 방식, 간단히</w:t>
      </w:r>
    </w:p>
    <w:p>
      <w:pPr>
        <w:spacing w:line="360" w:lineRule="auto" w:after="160"/>
      </w:pPr>
      <w:r>
        <w:rPr>
          <w:rFonts w:ascii="Malgun Gothic" w:hAnsi="Malgun Gothic" w:eastAsia="맑은 고딕"/>
        </w:rPr>
        <w:t>서른세 개 상태의 미분방정식이 칩의 재순환 루프를 닫아 약물 동태를 피팅하고, 열 개 구획의 관류 제한 PBPK가 Rodgers-Rowland 분배와 Varma 청소율, ACAT 흡수 모델로 전신을 표현합니다. 핵심은 반증 가능한 보정 규칙으로, CYP3A4 기여도가 90퍼센트 이상이고 담즙 청소율이 낮고 간 흡수가 아직 반영되지 않았을 때만 보정 인자를 적용합니다. 일괄 적용시 GMFE 9.7배였지만 선택적 규칙 적용으로 1.85배까지 개선되었습니다. 입력은 물리화학적 성질뿐이며, 질환 상태 확장에서는 영향받지 않은 장기 파라미터를 고정하고 동일한 파이프라인을 재파라미터화 없이 그대로 적용합니다.</w:t>
      </w:r>
    </w:p>
    <w:p>
      <w:pPr>
        <w:spacing w:before="160" w:after="60"/>
      </w:pPr>
      <w:r>
        <w:rPr>
          <w:rFonts w:ascii="Malgun Gothic" w:hAnsi="Malgun Gothic" w:eastAsia="맑은 고딕"/>
          <w:b/>
          <w:color w:val="163A5F"/>
          <w:sz w:val="23"/>
        </w:rPr>
        <w:t>[슬라이드 34] 검증 결과 — 24건, 6개 약물</w:t>
      </w:r>
    </w:p>
    <w:p>
      <w:pPr>
        <w:spacing w:line="360" w:lineRule="auto" w:after="160"/>
      </w:pPr>
      <w:r>
        <w:rPr>
          <w:rFonts w:ascii="Malgun Gothic" w:hAnsi="Malgun Gothic" w:eastAsia="맑은 고딕"/>
        </w:rPr>
        <w:t>항피린, 벤질페니실린, 테스토스테론, 크리조티닙, 게피티닙, 심바스타틴까지 서로 다른 기전의 여섯 약물 모두에서 일관된 성능을 보였고, 전체 GMFE는 1.85배, 4배 이내가 스물네 건 전부였습니다. 이는 산업 표준 PBPK 플랫폼의 2배에서 5배 벤치마크 범위 안에 듭니다.</w:t>
      </w:r>
    </w:p>
    <w:p>
      <w:pPr>
        <w:spacing w:before="160" w:after="60"/>
      </w:pPr>
      <w:r>
        <w:rPr>
          <w:rFonts w:ascii="Malgun Gothic" w:hAnsi="Malgun Gothic" w:eastAsia="맑은 고딕"/>
          <w:b/>
          <w:color w:val="163A5F"/>
          <w:sz w:val="23"/>
        </w:rPr>
        <w:t>[슬라이드 35] 질환 상태 확장, 한계, 그리고 그 의미</w:t>
      </w:r>
    </w:p>
    <w:p>
      <w:pPr>
        <w:spacing w:line="360" w:lineRule="auto" w:after="160"/>
      </w:pPr>
      <w:r>
        <w:rPr>
          <w:rFonts w:ascii="Malgun Gothic" w:hAnsi="Malgun Gothic" w:eastAsia="맑은 고딕"/>
        </w:rPr>
        <w:t>DSS 대장염 칩에서 게피티닙 AUC는 0.49배로 감소했는데 이는 장 국소적 현상이고, 시스플라틴 손상 칩에서 심바스타틴 AUC는 2.19배로 증가했는데 이는 간 국소적 현상으로 OATP1B1 억제와 부합합니다. 동일한 파이프라인이 장과 간의 국소적 변화를 구분해 내어, 평소 1상에서 제외되는 환자군에 대한 가설을 생성합니다. 한계로는 점액층 부재, HepaRG의 낮은 CYP3A4 활성, 환자 임상 자료 부족이 있으며, 오픈소스 파이썬 구현은 노트북에서 오 분 이내에 재현됩니다. 이 작업은 동물, 임상 약동학을 대체하는 것이 아니라 보완하는 것입니다.</w:t>
      </w:r>
    </w:p>
    <w:p>
      <w:pPr>
        <w:spacing w:before="160" w:after="60"/>
      </w:pPr>
      <w:r>
        <w:rPr>
          <w:rFonts w:ascii="Malgun Gothic" w:hAnsi="Malgun Gothic" w:eastAsia="맑은 고딕"/>
          <w:b/>
          <w:color w:val="163A5F"/>
          <w:sz w:val="23"/>
        </w:rPr>
        <w:t>[슬라이드 36] 결론과 열린 초대</w:t>
      </w:r>
    </w:p>
    <w:p>
      <w:pPr>
        <w:spacing w:line="360" w:lineRule="auto" w:after="160"/>
      </w:pPr>
      <w:r>
        <w:rPr>
          <w:rFonts w:ascii="Malgun Gothic" w:hAnsi="Malgun Gothic" w:eastAsia="맑은 고딕"/>
        </w:rPr>
        <w:t>Organ-on-chip은 진정으로 사람과 관련성 있는 생물학을 만들어내지만, 그것이 의사결정에 쓸 수 있는 근거가 되려면 임상약리학이 필요합니다. 저희의 장-간-신장 사례는 이것이 임상 약동학 데이터 없이도 가능함을 보여주고, 258개 모델 QSP 라이브러리는 이 커뮤니티가 이 원리를 처음부터 새로 만들 필요 없이 지금 채택할 수 있도록 존재합니다. 이 프로젝트는 완전히 열려 있으며, 함께 연구하고 싶습니다.</w:t>
      </w:r>
    </w:p>
    <w:p>
      <w:pPr>
        <w:spacing w:before="160" w:after="60"/>
      </w:pPr>
      <w:r>
        <w:rPr>
          <w:rFonts w:ascii="Malgun Gothic" w:hAnsi="Malgun Gothic" w:eastAsia="맑은 고딕"/>
          <w:b/>
          <w:color w:val="163A5F"/>
          <w:sz w:val="23"/>
        </w:rPr>
        <w:t>[슬라이드 37] 주요 참고문헌</w:t>
      </w:r>
    </w:p>
    <w:p>
      <w:pPr>
        <w:spacing w:line="360" w:lineRule="auto" w:after="160"/>
      </w:pPr>
      <w:r>
        <w:rPr>
          <w:rFonts w:ascii="Malgun Gothic" w:hAnsi="Malgun Gothic" w:eastAsia="맑은 고딕"/>
        </w:rPr>
        <w:t>DiMasi와 Landis, Kola의 신약개발 경제성 논문부터, Huh 등의 2010년 Science organ-on-chip 논문, Bhatia와 Ingber의 총설, Rodgers-Rowland의 조직 분배 방법론, Varma의 청소율 방법론까지 오늘 발표의 방법론적 근거입니다.</w:t>
      </w:r>
    </w:p>
    <w:p>
      <w:pPr>
        <w:spacing w:before="160" w:after="60"/>
      </w:pPr>
      <w:r>
        <w:rPr>
          <w:rFonts w:ascii="Malgun Gothic" w:hAnsi="Malgun Gothic" w:eastAsia="맑은 고딕"/>
          <w:b/>
          <w:color w:val="163A5F"/>
          <w:sz w:val="23"/>
        </w:rPr>
        <w:t>[슬라이드 38] 연락처</w:t>
      </w:r>
    </w:p>
    <w:p>
      <w:pPr>
        <w:spacing w:line="360" w:lineRule="auto" w:after="160"/>
      </w:pPr>
      <w:r>
        <w:rPr>
          <w:rFonts w:ascii="Malgun Gothic" w:hAnsi="Malgun Gothic" w:eastAsia="맑은 고딕"/>
        </w:rPr>
        <w:t>한승필, 가톨릭대학교 의과대학 부교수입니다. 약리학교실과 임상약리학과 겸 서울성모병원, PIPET 약동학연구소 소속입니다. 이메일은 shan 골뱅이 catholic.ac.kr이고, QR코드로 오픈소스 QSP 라이브러리에 바로 접속하실 수 있습니다. 경청해 주셔서 감사합니다. 질문과 협업 모두 환영합니다.</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