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BUSINESS REQUIREMENTS DOCUMENT</w:t>
      </w:r>
    </w:p>
    <w:p>
      <w:pPr>
        <w:spacing w:after="260"/>
      </w:pPr>
      <w:r>
        <w:rPr>
          <w:b/>
          <w:bCs/>
          <w:color w:val="2E74B5"/>
          <w:sz w:val="24"/>
          <w:szCs w:val="24"/>
        </w:rPr>
        <w:t xml:space="preserve">Penguatan Aplikasi Salesappv20 — Berdasarkan Gap Analysis terhadap Salesforce Sales Cloud</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75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19"/>
                <w:szCs w:val="19"/>
              </w:rPr>
              <w:t xml:space="preserve">Field</w:t>
            </w:r>
          </w:p>
        </w:tc>
        <w:tc>
          <w:tcPr>
            <w:tcW w:type="dxa" w:w="7500"/>
            <w:shd w:fill="1F3864" w:color="auto" w:val="clear"/>
            <w:tcMar>
              <w:top w:type="dxa" w:w="80"/>
              <w:left w:type="dxa" w:w="100"/>
              <w:bottom w:type="dxa" w:w="80"/>
              <w:right w:type="dxa" w:w="100"/>
            </w:tcMar>
          </w:tcPr>
          <w:p>
            <w:pPr>
              <w:jc w:val="left"/>
            </w:pPr>
            <w:r>
              <w:rPr>
                <w:b/>
                <w:bCs/>
                <w:color w:val="FFFFFF"/>
                <w:sz w:val="19"/>
                <w:szCs w:val="19"/>
              </w:rPr>
              <w:t xml:space="preserve">Isian</w:t>
            </w:r>
          </w:p>
        </w:tc>
      </w:tr>
      <w:tr>
        <w:tc>
          <w:tcPr>
            <w:tcW w:type="dxa" w:w="2600"/>
            <w:shd w:fill="FFFFFF" w:color="auto" w:val="clear"/>
            <w:tcMar>
              <w:top w:type="dxa" w:w="80"/>
              <w:left w:type="dxa" w:w="100"/>
              <w:bottom w:type="dxa" w:w="80"/>
              <w:right w:type="dxa" w:w="100"/>
            </w:tcMar>
          </w:tcPr>
          <w:p>
            <w:pPr>
              <w:jc w:val="left"/>
            </w:pPr>
            <w:r>
              <w:rPr>
                <w:b/>
                <w:bCs/>
                <w:color w:val="000000"/>
                <w:sz w:val="19"/>
                <w:szCs w:val="19"/>
              </w:rPr>
              <w:t xml:space="preserve">Nama Dokumen</w:t>
            </w:r>
          </w:p>
        </w:tc>
        <w:tc>
          <w:tcPr>
            <w:tcW w:type="dxa" w:w="7500"/>
            <w:shd w:fill="FFFFFF" w:color="auto" w:val="clear"/>
            <w:tcMar>
              <w:top w:type="dxa" w:w="80"/>
              <w:left w:type="dxa" w:w="100"/>
              <w:bottom w:type="dxa" w:w="80"/>
              <w:right w:type="dxa" w:w="100"/>
            </w:tcMar>
          </w:tcPr>
          <w:p>
            <w:pPr>
              <w:jc w:val="left"/>
            </w:pPr>
            <w:r>
              <w:rPr>
                <w:b w:val="false"/>
                <w:bCs w:val="false"/>
                <w:color w:val="000000"/>
                <w:sz w:val="19"/>
                <w:szCs w:val="19"/>
              </w:rPr>
              <w:t xml:space="preserve">BRD - Penguatan Aplikasi Salesappv20</w:t>
            </w:r>
          </w:p>
        </w:tc>
      </w:tr>
      <w:tr>
        <w:tc>
          <w:tcPr>
            <w:tcW w:type="dxa" w:w="2600"/>
            <w:shd w:fill="F2F2F2" w:color="auto" w:val="clear"/>
            <w:tcMar>
              <w:top w:type="dxa" w:w="80"/>
              <w:left w:type="dxa" w:w="100"/>
              <w:bottom w:type="dxa" w:w="80"/>
              <w:right w:type="dxa" w:w="100"/>
            </w:tcMar>
          </w:tcPr>
          <w:p>
            <w:pPr>
              <w:jc w:val="left"/>
            </w:pPr>
            <w:r>
              <w:rPr>
                <w:b/>
                <w:bCs/>
                <w:color w:val="000000"/>
                <w:sz w:val="19"/>
                <w:szCs w:val="19"/>
              </w:rPr>
              <w:t xml:space="preserve">Versi</w:t>
            </w:r>
          </w:p>
        </w:tc>
        <w:tc>
          <w:tcPr>
            <w:tcW w:type="dxa" w:w="7500"/>
            <w:shd w:fill="F2F2F2" w:color="auto" w:val="clear"/>
            <w:tcMar>
              <w:top w:type="dxa" w:w="80"/>
              <w:left w:type="dxa" w:w="100"/>
              <w:bottom w:type="dxa" w:w="80"/>
              <w:right w:type="dxa" w:w="100"/>
            </w:tcMar>
          </w:tcPr>
          <w:p>
            <w:pPr>
              <w:jc w:val="left"/>
            </w:pPr>
            <w:r>
              <w:rPr>
                <w:b w:val="false"/>
                <w:bCs w:val="false"/>
                <w:color w:val="000000"/>
                <w:sz w:val="19"/>
                <w:szCs w:val="19"/>
              </w:rPr>
              <w:t xml:space="preserve">0.1 (Draft — belum direview pemilik produk)</w:t>
            </w:r>
          </w:p>
        </w:tc>
      </w:tr>
      <w:tr>
        <w:tc>
          <w:tcPr>
            <w:tcW w:type="dxa" w:w="2600"/>
            <w:shd w:fill="FFFFFF" w:color="auto" w:val="clear"/>
            <w:tcMar>
              <w:top w:type="dxa" w:w="80"/>
              <w:left w:type="dxa" w:w="100"/>
              <w:bottom w:type="dxa" w:w="80"/>
              <w:right w:type="dxa" w:w="100"/>
            </w:tcMar>
          </w:tcPr>
          <w:p>
            <w:pPr>
              <w:jc w:val="left"/>
            </w:pPr>
            <w:r>
              <w:rPr>
                <w:b/>
                <w:bCs/>
                <w:color w:val="000000"/>
                <w:sz w:val="19"/>
                <w:szCs w:val="19"/>
              </w:rPr>
              <w:t xml:space="preserve">Tanggal Disusun</w:t>
            </w:r>
          </w:p>
        </w:tc>
        <w:tc>
          <w:tcPr>
            <w:tcW w:type="dxa" w:w="7500"/>
            <w:shd w:fill="FFFFFF" w:color="auto" w:val="clear"/>
            <w:tcMar>
              <w:top w:type="dxa" w:w="80"/>
              <w:left w:type="dxa" w:w="100"/>
              <w:bottom w:type="dxa" w:w="80"/>
              <w:right w:type="dxa" w:w="100"/>
            </w:tcMar>
          </w:tcPr>
          <w:p>
            <w:pPr>
              <w:jc w:val="left"/>
            </w:pPr>
            <w:r>
              <w:rPr>
                <w:b w:val="false"/>
                <w:bCs w:val="false"/>
                <w:color w:val="000000"/>
                <w:sz w:val="19"/>
                <w:szCs w:val="19"/>
              </w:rPr>
              <w:t xml:space="preserve">16 September 2026</w:t>
            </w:r>
          </w:p>
        </w:tc>
      </w:tr>
      <w:tr>
        <w:tc>
          <w:tcPr>
            <w:tcW w:type="dxa" w:w="2600"/>
            <w:shd w:fill="F2F2F2" w:color="auto" w:val="clear"/>
            <w:tcMar>
              <w:top w:type="dxa" w:w="80"/>
              <w:left w:type="dxa" w:w="100"/>
              <w:bottom w:type="dxa" w:w="80"/>
              <w:right w:type="dxa" w:w="100"/>
            </w:tcMar>
          </w:tcPr>
          <w:p>
            <w:pPr>
              <w:jc w:val="left"/>
            </w:pPr>
            <w:r>
              <w:rPr>
                <w:b/>
                <w:bCs/>
                <w:color w:val="000000"/>
                <w:sz w:val="19"/>
                <w:szCs w:val="19"/>
              </w:rPr>
              <w:t xml:space="preserve">Disusun Oleh</w:t>
            </w:r>
          </w:p>
        </w:tc>
        <w:tc>
          <w:tcPr>
            <w:tcW w:type="dxa" w:w="7500"/>
            <w:shd w:fill="F2F2F2" w:color="auto" w:val="clear"/>
            <w:tcMar>
              <w:top w:type="dxa" w:w="80"/>
              <w:left w:type="dxa" w:w="100"/>
              <w:bottom w:type="dxa" w:w="80"/>
              <w:right w:type="dxa" w:w="100"/>
            </w:tcMar>
          </w:tcPr>
          <w:p>
            <w:pPr>
              <w:jc w:val="left"/>
            </w:pPr>
            <w:r>
              <w:rPr>
                <w:b w:val="false"/>
                <w:bCs w:val="false"/>
                <w:color w:val="000000"/>
                <w:sz w:val="19"/>
                <w:szCs w:val="19"/>
              </w:rPr>
              <w:t xml:space="preserve">Tim Data &amp; Digital (analisis teknis) — dibantu Claude</w:t>
            </w:r>
          </w:p>
        </w:tc>
      </w:tr>
      <w:tr>
        <w:tc>
          <w:tcPr>
            <w:tcW w:type="dxa" w:w="2600"/>
            <w:shd w:fill="FFFFFF" w:color="auto" w:val="clear"/>
            <w:tcMar>
              <w:top w:type="dxa" w:w="80"/>
              <w:left w:type="dxa" w:w="100"/>
              <w:bottom w:type="dxa" w:w="80"/>
              <w:right w:type="dxa" w:w="100"/>
            </w:tcMar>
          </w:tcPr>
          <w:p>
            <w:pPr>
              <w:jc w:val="left"/>
            </w:pPr>
            <w:r>
              <w:rPr>
                <w:b/>
                <w:bCs/>
                <w:color w:val="000000"/>
                <w:sz w:val="19"/>
                <w:szCs w:val="19"/>
              </w:rPr>
              <w:t xml:space="preserve">Direview Oleh</w:t>
            </w:r>
          </w:p>
        </w:tc>
        <w:tc>
          <w:tcPr>
            <w:tcW w:type="dxa" w:w="7500"/>
            <w:shd w:fill="FFFFFF" w:color="auto" w:val="clear"/>
            <w:tcMar>
              <w:top w:type="dxa" w:w="80"/>
              <w:left w:type="dxa" w:w="100"/>
              <w:bottom w:type="dxa" w:w="80"/>
              <w:right w:type="dxa" w:w="100"/>
            </w:tcMar>
          </w:tcPr>
          <w:p>
            <w:pPr>
              <w:jc w:val="left"/>
            </w:pPr>
            <w:r>
              <w:rPr>
                <w:b w:val="false"/>
                <w:bCs w:val="false"/>
                <w:color w:val="000000"/>
                <w:sz w:val="19"/>
                <w:szCs w:val="19"/>
              </w:rPr>
              <w:t xml:space="preserve">[Diisi: Product Owner Salesappv20]</w:t>
            </w:r>
          </w:p>
        </w:tc>
      </w:tr>
      <w:tr>
        <w:tc>
          <w:tcPr>
            <w:tcW w:type="dxa" w:w="2600"/>
            <w:shd w:fill="F2F2F2" w:color="auto" w:val="clear"/>
            <w:tcMar>
              <w:top w:type="dxa" w:w="80"/>
              <w:left w:type="dxa" w:w="100"/>
              <w:bottom w:type="dxa" w:w="80"/>
              <w:right w:type="dxa" w:w="100"/>
            </w:tcMar>
          </w:tcPr>
          <w:p>
            <w:pPr>
              <w:jc w:val="left"/>
            </w:pPr>
            <w:r>
              <w:rPr>
                <w:b/>
                <w:bCs/>
                <w:color w:val="000000"/>
                <w:sz w:val="19"/>
                <w:szCs w:val="19"/>
              </w:rPr>
              <w:t xml:space="preserve">Disetujui Oleh</w:t>
            </w:r>
          </w:p>
        </w:tc>
        <w:tc>
          <w:tcPr>
            <w:tcW w:type="dxa" w:w="7500"/>
            <w:shd w:fill="F2F2F2" w:color="auto" w:val="clear"/>
            <w:tcMar>
              <w:top w:type="dxa" w:w="80"/>
              <w:left w:type="dxa" w:w="100"/>
              <w:bottom w:type="dxa" w:w="80"/>
              <w:right w:type="dxa" w:w="100"/>
            </w:tcMar>
          </w:tcPr>
          <w:p>
            <w:pPr>
              <w:jc w:val="left"/>
            </w:pPr>
            <w:r>
              <w:rPr>
                <w:b w:val="false"/>
                <w:bCs w:val="false"/>
                <w:color w:val="000000"/>
                <w:sz w:val="19"/>
                <w:szCs w:val="19"/>
              </w:rPr>
              <w:t xml:space="preserve">[Diisi: Business Owner / Sponsor]</w:t>
            </w:r>
          </w:p>
        </w:tc>
      </w:tr>
      <w:tr>
        <w:tc>
          <w:tcPr>
            <w:tcW w:type="dxa" w:w="2600"/>
            <w:shd w:fill="FFFFFF" w:color="auto" w:val="clear"/>
            <w:tcMar>
              <w:top w:type="dxa" w:w="80"/>
              <w:left w:type="dxa" w:w="100"/>
              <w:bottom w:type="dxa" w:w="80"/>
              <w:right w:type="dxa" w:w="100"/>
            </w:tcMar>
          </w:tcPr>
          <w:p>
            <w:pPr>
              <w:jc w:val="left"/>
            </w:pPr>
            <w:r>
              <w:rPr>
                <w:b/>
                <w:bCs/>
                <w:color w:val="000000"/>
                <w:sz w:val="19"/>
                <w:szCs w:val="19"/>
              </w:rPr>
              <w:t xml:space="preserve">Dokumen Referensi</w:t>
            </w:r>
          </w:p>
        </w:tc>
        <w:tc>
          <w:tcPr>
            <w:tcW w:type="dxa" w:w="7500"/>
            <w:shd w:fill="FFFFFF" w:color="auto" w:val="clear"/>
            <w:tcMar>
              <w:top w:type="dxa" w:w="80"/>
              <w:left w:type="dxa" w:w="100"/>
              <w:bottom w:type="dxa" w:w="80"/>
              <w:right w:type="dxa" w:w="100"/>
            </w:tcMar>
          </w:tcPr>
          <w:p>
            <w:pPr>
              <w:jc w:val="left"/>
            </w:pPr>
            <w:r>
              <w:rPr>
                <w:b w:val="false"/>
                <w:bCs w:val="false"/>
                <w:color w:val="000000"/>
                <w:sz w:val="19"/>
                <w:szCs w:val="19"/>
              </w:rPr>
              <w:t xml:space="preserve">Gap_Analysis_Salesforce_vs_Salesappv20.docx; Backlog_PRD_Salesappv20.docx</w:t>
            </w:r>
          </w:p>
        </w:tc>
      </w:tr>
      <w:tr>
        <w:tc>
          <w:tcPr>
            <w:tcW w:type="dxa" w:w="2600"/>
            <w:shd w:fill="F2F2F2" w:color="auto" w:val="clear"/>
            <w:tcMar>
              <w:top w:type="dxa" w:w="80"/>
              <w:left w:type="dxa" w:w="100"/>
              <w:bottom w:type="dxa" w:w="80"/>
              <w:right w:type="dxa" w:w="100"/>
            </w:tcMar>
          </w:tcPr>
          <w:p>
            <w:pPr>
              <w:jc w:val="left"/>
            </w:pPr>
            <w:r>
              <w:rPr>
                <w:b/>
                <w:bCs/>
                <w:color w:val="000000"/>
                <w:sz w:val="19"/>
                <w:szCs w:val="19"/>
              </w:rPr>
              <w:t xml:space="preserve">Status</w:t>
            </w:r>
          </w:p>
        </w:tc>
        <w:tc>
          <w:tcPr>
            <w:tcW w:type="dxa" w:w="7500"/>
            <w:shd w:fill="F2F2F2" w:color="auto" w:val="clear"/>
            <w:tcMar>
              <w:top w:type="dxa" w:w="80"/>
              <w:left w:type="dxa" w:w="100"/>
              <w:bottom w:type="dxa" w:w="80"/>
              <w:right w:type="dxa" w:w="100"/>
            </w:tcMar>
          </w:tcPr>
          <w:p>
            <w:pPr>
              <w:jc w:val="left"/>
            </w:pPr>
            <w:r>
              <w:rPr>
                <w:b w:val="false"/>
                <w:bCs w:val="false"/>
                <w:color w:val="000000"/>
                <w:sz w:val="19"/>
                <w:szCs w:val="19"/>
              </w:rPr>
              <w:t xml:space="preserve">DRAFT — memerlukan validasi bisnis sebelum eksekusi</w:t>
            </w:r>
          </w:p>
        </w:tc>
      </w:tr>
    </w:tbl>
    <w:p>
      <w:r>
        <w:br/>
        <w:t xml:space="preserve"/>
      </w:r>
    </w:p>
    <w:p>
      <w:pPr>
        <w:pStyle w:val="Heading1"/>
        <w:spacing w:after="160" w:before="360"/>
      </w:pPr>
      <w:r>
        <w:rPr>
          <w:b/>
          <w:bCs/>
          <w:color w:val="1F3864"/>
          <w:sz w:val="30"/>
          <w:szCs w:val="30"/>
        </w:rPr>
        <w:t xml:space="preserve">1. Ringkasan Eksekutif</w:t>
      </w:r>
    </w:p>
    <w:p>
      <w:pPr>
        <w:spacing w:after="140" w:line="276"/>
      </w:pPr>
      <w:r>
        <w:rPr>
          <w:sz w:val="21"/>
          <w:szCs w:val="21"/>
        </w:rPr>
        <w:t xml:space="preserve">Dokumen ini menerjemahkan hasil Gap Analysis (Salesforce Sales Cloud vs Salesappv20) dan Backlog/Mini-PRD menjadi kebutuhan bisnis formal, supaya bisa dipakai untuk perencanaan, penganggaran, dan persetujuan sebelum masuk ke tahap pengembangan. Tiga temuan yang mendasari sebagian besar kebutuhan di dokumen ini:</w:t>
      </w:r>
    </w:p>
    <w:p>
      <w:pPr>
        <w:pStyle w:val="ListParagraph"/>
        <w:numPr>
          <w:ilvl w:val="0"/>
          <w:numId w:val="2"/>
        </w:numPr>
        <w:spacing w:after="80" w:line="276"/>
      </w:pPr>
      <w:r>
        <w:rPr>
          <w:color w:val="C0392B"/>
          <w:sz w:val="21"/>
          <w:szCs w:val="21"/>
        </w:rPr>
        <w:t xml:space="preserve">Sejumlah modul (Lead Management, Territory Management, Email Communication Hub, Integration Hub, Commission Calculator, Custom Report Builder) sudah dikembangkan tapi tidak dapat diakses pengguna karena tidak tersambung ke menu navigasi.</w:t>
      </w:r>
    </w:p>
    <w:p>
      <w:pPr>
        <w:pStyle w:val="ListParagraph"/>
        <w:numPr>
          <w:ilvl w:val="0"/>
          <w:numId w:val="2"/>
        </w:numPr>
        <w:spacing w:after="80" w:line="276"/>
      </w:pPr>
      <w:r>
        <w:rPr>
          <w:color w:val="C0392B"/>
          <w:sz w:val="21"/>
          <w:szCs w:val="21"/>
        </w:rPr>
        <w:t xml:space="preserve">Tidak ada validasi lokasi (GPS check-in) untuk kunjungan sales lapangan, padahal ini kebutuhan inti untuk aplikasi bertujuan "sales monitoring".</w:t>
      </w:r>
    </w:p>
    <w:p>
      <w:pPr>
        <w:pStyle w:val="ListParagraph"/>
        <w:numPr>
          <w:ilvl w:val="0"/>
          <w:numId w:val="2"/>
        </w:numPr>
        <w:spacing w:after="80" w:line="276"/>
      </w:pPr>
      <w:r>
        <w:rPr>
          <w:color w:val="C0392B"/>
          <w:sz w:val="21"/>
          <w:szCs w:val="21"/>
        </w:rPr>
        <w:t xml:space="preserve">Beberapa kapabilitas pembanding (Overdues, Market Mapping &amp; Targets, Master Provinces, Inventories) sama sekali tidak ada di Salesappv20, namun relevansinya untuk bisnis ini belum dikonfirmasi.</w:t>
      </w:r>
    </w:p>
    <w:p>
      <w:pPr>
        <w:spacing w:after="100" w:line="276"/>
      </w:pPr>
      <w:r>
        <w:rPr>
          <w:b/>
          <w:bCs/>
          <w:color w:val="C0392B"/>
          <w:sz w:val="21"/>
          <w:szCs w:val="21"/>
        </w:rPr>
        <w:t xml:space="preserve">Catatan status: </w:t>
      </w:r>
      <w:r>
        <w:rPr>
          <w:sz w:val="21"/>
          <w:szCs w:val="21"/>
        </w:rPr>
        <w:t xml:space="preserve"> dokumen ini masih berstatus DRAFT. Bagian Stakeholder, target metrik, dan beberapa asumsi masih berupa placeholder yang perlu diisi/divalidasi oleh pemilik produk sebelum dokumen ini dipakai sebagai dasar keputusan anggaran/sprint.</w:t>
      </w:r>
    </w:p>
    <w:p>
      <w:pPr>
        <w:pStyle w:val="Heading1"/>
        <w:spacing w:after="160" w:before="360"/>
      </w:pPr>
      <w:r>
        <w:rPr>
          <w:b/>
          <w:bCs/>
          <w:color w:val="1F3864"/>
          <w:sz w:val="30"/>
          <w:szCs w:val="30"/>
        </w:rPr>
        <w:t xml:space="preserve">2. Latar Belakang</w:t>
      </w:r>
    </w:p>
    <w:p>
      <w:pPr>
        <w:spacing w:after="140" w:line="276"/>
      </w:pPr>
      <w:r>
        <w:rPr>
          <w:sz w:val="21"/>
          <w:szCs w:val="21"/>
        </w:rPr>
        <w:t xml:space="preserve">Salesappv20 adalah aplikasi web (PWA) untuk monitoring aktivitas sales — mencakup manajemen opportunity, CPQ/quotation, katalog produk, penjadwalan demo, kontrak, laporan penjualan, hingga modul AI untuk insight dan prediksi KPI. Kebutuhan penguatan aplikasi ini muncul dari perbandingan terhadap implementasi Salesforce Sales Cloud di PT Onduline Indonesia (materi training internal) serta kapabilitas umum Salesforce Sales Cloud, yang menunjukkan adanya modul yang belum aktif, kelemahan pada validasi data lapangan, dan beberapa kapabilitas yang belum tersedia.</w:t>
      </w:r>
    </w:p>
    <w:p>
      <w:pPr>
        <w:spacing w:after="100" w:line="276"/>
      </w:pPr>
      <w:r>
        <w:rPr>
          <w:b/>
          <w:bCs/>
          <w:color w:val="C0392B"/>
          <w:sz w:val="21"/>
          <w:szCs w:val="21"/>
        </w:rPr>
        <w:t xml:space="preserve">Asumsi: </w:t>
      </w:r>
      <w:r>
        <w:rPr>
          <w:sz w:val="21"/>
          <w:szCs w:val="21"/>
        </w:rPr>
        <w:t xml:space="preserve"> Salesappv20 diasumsikan akan terus dipakai secara aktif sebagai alat monitoring sales internal. Nama organisasi pemilik produk, unit bisnis, dan target pengguna akhir belum dikonfirmasi ke penulis dokumen ini — mohon dilengkapi oleh pemilik produk sebelum finalisasi.</w:t>
      </w:r>
    </w:p>
    <w:p>
      <w:pPr>
        <w:pStyle w:val="Heading1"/>
        <w:spacing w:after="160" w:before="360"/>
      </w:pPr>
      <w:r>
        <w:rPr>
          <w:b/>
          <w:bCs/>
          <w:color w:val="1F3864"/>
          <w:sz w:val="30"/>
          <w:szCs w:val="30"/>
        </w:rPr>
        <w:t xml:space="preserve">3. Tujuan Bisnis</w:t>
      </w:r>
    </w:p>
    <w:p>
      <w:pPr>
        <w:pStyle w:val="ListParagraph"/>
        <w:numPr>
          <w:ilvl w:val="0"/>
          <w:numId w:val="3"/>
        </w:numPr>
        <w:spacing w:after="80" w:line="276"/>
      </w:pPr>
      <w:r>
        <w:rPr>
          <w:sz w:val="21"/>
          <w:szCs w:val="21"/>
        </w:rPr>
        <w:t xml:space="preserve">Memastikan seluruh fitur yang sudah dibangun (dan dibiayai) benar-benar bisa dipakai pengguna — bukan menjadi kode yang menganggur.</w:t>
      </w:r>
    </w:p>
    <w:p>
      <w:pPr>
        <w:pStyle w:val="ListParagraph"/>
        <w:numPr>
          <w:ilvl w:val="0"/>
          <w:numId w:val="3"/>
        </w:numPr>
        <w:spacing w:after="80" w:line="276"/>
      </w:pPr>
      <w:r>
        <w:rPr>
          <w:sz w:val="21"/>
          <w:szCs w:val="21"/>
        </w:rPr>
        <w:t xml:space="preserve">Meningkatkan validitas data kunjungan sales lapangan melalui pencatatan lokasi (GPS) yang bisa diverifikasi manajer.</w:t>
      </w:r>
    </w:p>
    <w:p>
      <w:pPr>
        <w:pStyle w:val="ListParagraph"/>
        <w:numPr>
          <w:ilvl w:val="0"/>
          <w:numId w:val="3"/>
        </w:numPr>
        <w:spacing w:after="80" w:line="276"/>
      </w:pPr>
      <w:r>
        <w:rPr>
          <w:sz w:val="21"/>
          <w:szCs w:val="21"/>
        </w:rPr>
        <w:t xml:space="preserve">Meningkatkan kualitas analisis kemenangan/kekalahan (win/loss) opportunity untuk mendukung keputusan strategi penjualan.</w:t>
      </w:r>
    </w:p>
    <w:p>
      <w:pPr>
        <w:pStyle w:val="ListParagraph"/>
        <w:numPr>
          <w:ilvl w:val="0"/>
          <w:numId w:val="3"/>
        </w:numPr>
        <w:spacing w:after="80" w:line="276"/>
      </w:pPr>
      <w:r>
        <w:rPr>
          <w:sz w:val="21"/>
          <w:szCs w:val="21"/>
        </w:rPr>
        <w:t xml:space="preserve">Meningkatkan kualitas dan konsistensi data master (klasifikasi account, alamat, wilayah) untuk mendukung pelaporan yang akurat.</w:t>
      </w:r>
    </w:p>
    <w:p>
      <w:pPr>
        <w:pStyle w:val="ListParagraph"/>
        <w:numPr>
          <w:ilvl w:val="0"/>
          <w:numId w:val="3"/>
        </w:numPr>
        <w:spacing w:after="80" w:line="276"/>
      </w:pPr>
      <w:r>
        <w:rPr>
          <w:sz w:val="21"/>
          <w:szCs w:val="21"/>
        </w:rPr>
        <w:t xml:space="preserve">Menyediakan keputusan yang jelas (build/skip) atas kapabilitas yang ada di Salesforce namun belum tentu relevan untuk skala bisnis saat ini (Overdues, Market Mapping, Master Provinces, Inventories), supaya tidak ada investasi pengembangan yang salah sasaran.</w:t>
      </w:r>
    </w:p>
    <w:p>
      <w:pPr>
        <w:pStyle w:val="Heading1"/>
        <w:spacing w:after="160" w:before="360"/>
      </w:pPr>
      <w:r>
        <w:rPr>
          <w:b/>
          <w:bCs/>
          <w:color w:val="1F3864"/>
          <w:sz w:val="30"/>
          <w:szCs w:val="30"/>
        </w:rPr>
        <w:t xml:space="preserve">4. Ruang Lingkup</w:t>
      </w:r>
    </w:p>
    <w:p>
      <w:pPr>
        <w:pStyle w:val="Heading2"/>
        <w:spacing w:after="120" w:before="260"/>
      </w:pPr>
      <w:r>
        <w:rPr>
          <w:b/>
          <w:bCs/>
          <w:color w:val="2E74B5"/>
          <w:sz w:val="24"/>
          <w:szCs w:val="24"/>
        </w:rPr>
        <w:t xml:space="preserve">4.1 Dalam Ruang Lingkup (In-Scope)</w:t>
      </w:r>
    </w:p>
    <w:p>
      <w:pPr>
        <w:spacing w:after="140" w:line="276"/>
      </w:pPr>
      <w:r>
        <w:rPr>
          <w:sz w:val="21"/>
          <w:szCs w:val="21"/>
        </w:rPr>
        <w:t xml:space="preserve">Seluruh 12 item kebutuhan bisnis pada Bab 7, dikelompokkan dalam 3 gelombang implementasi:</w:t>
      </w:r>
    </w:p>
    <w:p>
      <w:pPr>
        <w:pStyle w:val="ListParagraph"/>
        <w:numPr>
          <w:ilvl w:val="0"/>
          <w:numId w:val="2"/>
        </w:numPr>
        <w:spacing w:after="80" w:line="276"/>
      </w:pPr>
      <w:r>
        <w:rPr>
          <w:sz w:val="21"/>
          <w:szCs w:val="21"/>
        </w:rPr>
        <w:t xml:space="preserve">Gelombang 1 (segera): perbaikan modul yang sudah ada tapi tidak aktif — Lead Management, audit modul orphan lainnya (Ref: BR-01, BR-02).</w:t>
      </w:r>
    </w:p>
    <w:p>
      <w:pPr>
        <w:pStyle w:val="ListParagraph"/>
        <w:numPr>
          <w:ilvl w:val="0"/>
          <w:numId w:val="2"/>
        </w:numPr>
        <w:spacing w:after="80" w:line="276"/>
      </w:pPr>
      <w:r>
        <w:rPr>
          <w:sz w:val="21"/>
          <w:szCs w:val="21"/>
        </w:rPr>
        <w:t xml:space="preserve">Gelombang 2 (jangka menengah): peningkatan fungsi inti — GPS check-in, close reason, klasifikasi account, alamat, workflow task, indikator visual target (Ref: BR-03 s/d BR-08).</w:t>
      </w:r>
    </w:p>
    <w:p>
      <w:pPr>
        <w:pStyle w:val="ListParagraph"/>
        <w:numPr>
          <w:ilvl w:val="0"/>
          <w:numId w:val="2"/>
        </w:numPr>
        <w:spacing w:after="80" w:line="276"/>
      </w:pPr>
      <w:r>
        <w:rPr>
          <w:sz w:val="21"/>
          <w:szCs w:val="21"/>
        </w:rPr>
        <w:t xml:space="preserve">Gelombang 3 (kondisional, menunggu konfirmasi bisnis): Overdues, Master Provinces, Market Mapping &amp; Targets, Inventori (Ref: BR-09 s/d BR-12).</w:t>
      </w:r>
    </w:p>
    <w:p>
      <w:pPr>
        <w:pStyle w:val="Heading2"/>
        <w:spacing w:after="120" w:before="260"/>
      </w:pPr>
      <w:r>
        <w:rPr>
          <w:b/>
          <w:bCs/>
          <w:color w:val="2E74B5"/>
          <w:sz w:val="24"/>
          <w:szCs w:val="24"/>
        </w:rPr>
        <w:t xml:space="preserve">4.2 Di Luar Ruang Lingkup (Out-of-Scope)</w:t>
      </w:r>
    </w:p>
    <w:p>
      <w:pPr>
        <w:pStyle w:val="ListParagraph"/>
        <w:numPr>
          <w:ilvl w:val="0"/>
          <w:numId w:val="2"/>
        </w:numPr>
        <w:spacing w:after="80" w:line="276"/>
      </w:pPr>
      <w:r>
        <w:rPr>
          <w:sz w:val="21"/>
          <w:szCs w:val="21"/>
        </w:rPr>
        <w:t xml:space="preserve">Replikasi kapabilitas multi-cloud Salesforce (Service Cloud, Marketing Cloud, Data Cloud, marketplace AppExchange) — di luar tujuan Salesappv20 sebagai aplikasi sales-monitoring.</w:t>
      </w:r>
    </w:p>
    <w:p>
      <w:pPr>
        <w:pStyle w:val="ListParagraph"/>
        <w:numPr>
          <w:ilvl w:val="0"/>
          <w:numId w:val="2"/>
        </w:numPr>
        <w:spacing w:after="80" w:line="276"/>
      </w:pPr>
      <w:r>
        <w:rPr>
          <w:sz w:val="21"/>
          <w:szCs w:val="21"/>
        </w:rPr>
        <w:t xml:space="preserve">Pengembangan aplikasi mobile native (iOS/Android) — Salesappv20 tetap berbasis PWA kecuali ada keputusan bisnis baru.</w:t>
      </w:r>
    </w:p>
    <w:p>
      <w:pPr>
        <w:pStyle w:val="ListParagraph"/>
        <w:numPr>
          <w:ilvl w:val="0"/>
          <w:numId w:val="2"/>
        </w:numPr>
        <w:spacing w:after="80" w:line="276"/>
      </w:pPr>
      <w:r>
        <w:rPr>
          <w:sz w:val="21"/>
          <w:szCs w:val="21"/>
        </w:rPr>
        <w:t xml:space="preserve">Perombakan total model keamanan/akses (RBAC penuh setara Salesforce) — direkomendasikan sebagai inisiatif terpisah, bukan bagian dari gelombang implementasi ini.</w:t>
      </w:r>
    </w:p>
    <w:p>
      <w:pPr>
        <w:pStyle w:val="Heading1"/>
        <w:spacing w:after="160" w:before="360"/>
      </w:pPr>
      <w:r>
        <w:rPr>
          <w:b/>
          <w:bCs/>
          <w:color w:val="1F3864"/>
          <w:sz w:val="30"/>
          <w:szCs w:val="30"/>
        </w:rPr>
        <w:t xml:space="preserve">5. Stakeholder</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3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19"/>
                <w:szCs w:val="19"/>
              </w:rPr>
              <w:t xml:space="preserve">Peran</w:t>
            </w:r>
          </w:p>
        </w:tc>
        <w:tc>
          <w:tcPr>
            <w:tcW w:type="dxa" w:w="3200"/>
            <w:shd w:fill="1F3864" w:color="auto" w:val="clear"/>
            <w:tcMar>
              <w:top w:type="dxa" w:w="80"/>
              <w:left w:type="dxa" w:w="100"/>
              <w:bottom w:type="dxa" w:w="80"/>
              <w:right w:type="dxa" w:w="100"/>
            </w:tcMar>
          </w:tcPr>
          <w:p>
            <w:pPr>
              <w:jc w:val="left"/>
            </w:pPr>
            <w:r>
              <w:rPr>
                <w:b/>
                <w:bCs/>
                <w:color w:val="FFFFFF"/>
                <w:sz w:val="19"/>
                <w:szCs w:val="19"/>
              </w:rPr>
              <w:t xml:space="preserve">Nama/Jabatan</w:t>
            </w:r>
          </w:p>
        </w:tc>
        <w:tc>
          <w:tcPr>
            <w:tcW w:type="dxa" w:w="4300"/>
            <w:shd w:fill="1F3864" w:color="auto" w:val="clear"/>
            <w:tcMar>
              <w:top w:type="dxa" w:w="80"/>
              <w:left w:type="dxa" w:w="100"/>
              <w:bottom w:type="dxa" w:w="80"/>
              <w:right w:type="dxa" w:w="100"/>
            </w:tcMar>
          </w:tcPr>
          <w:p>
            <w:pPr>
              <w:jc w:val="left"/>
            </w:pPr>
            <w:r>
              <w:rPr>
                <w:b/>
                <w:bCs/>
                <w:color w:val="FFFFFF"/>
                <w:sz w:val="19"/>
                <w:szCs w:val="19"/>
              </w:rPr>
              <w:t xml:space="preserve">Tanggung Jawab dalam Inisiatif Ini</w:t>
            </w:r>
          </w:p>
        </w:tc>
      </w:tr>
      <w:tr>
        <w:tc>
          <w:tcPr>
            <w:tcW w:type="dxa" w:w="2600"/>
            <w:shd w:fill="FFFFFF" w:color="auto" w:val="clear"/>
            <w:tcMar>
              <w:top w:type="dxa" w:w="80"/>
              <w:left w:type="dxa" w:w="100"/>
              <w:bottom w:type="dxa" w:w="80"/>
              <w:right w:type="dxa" w:w="100"/>
            </w:tcMar>
          </w:tcPr>
          <w:p>
            <w:pPr>
              <w:jc w:val="left"/>
            </w:pPr>
            <w:r>
              <w:rPr>
                <w:b/>
                <w:bCs/>
                <w:color w:val="000000"/>
                <w:sz w:val="19"/>
                <w:szCs w:val="19"/>
              </w:rPr>
              <w:t xml:space="preserve">Business/Product Owner</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[Diisi]</w:t>
            </w:r>
          </w:p>
        </w:tc>
        <w:tc>
          <w:tcPr>
            <w:tcW w:type="dxa" w:w="4300"/>
            <w:shd w:fill="FFFFFF" w:color="auto" w:val="clear"/>
            <w:tcMar>
              <w:top w:type="dxa" w:w="80"/>
              <w:left w:type="dxa" w:w="100"/>
              <w:bottom w:type="dxa" w:w="80"/>
              <w:right w:type="dxa" w:w="100"/>
            </w:tcMar>
          </w:tcPr>
          <w:p>
            <w:pPr>
              <w:jc w:val="left"/>
            </w:pPr>
            <w:r>
              <w:rPr>
                <w:b w:val="false"/>
                <w:bCs w:val="false"/>
                <w:color w:val="000000"/>
                <w:sz w:val="19"/>
                <w:szCs w:val="19"/>
              </w:rPr>
              <w:t xml:space="preserve">Memutuskan prioritas, menyetujui item Gelombang 3 (kondisional), menandatangani BRD final.</w:t>
            </w:r>
          </w:p>
        </w:tc>
      </w:tr>
      <w:tr>
        <w:tc>
          <w:tcPr>
            <w:tcW w:type="dxa" w:w="2600"/>
            <w:shd w:fill="F2F2F2" w:color="auto" w:val="clear"/>
            <w:tcMar>
              <w:top w:type="dxa" w:w="80"/>
              <w:left w:type="dxa" w:w="100"/>
              <w:bottom w:type="dxa" w:w="80"/>
              <w:right w:type="dxa" w:w="100"/>
            </w:tcMar>
          </w:tcPr>
          <w:p>
            <w:pPr>
              <w:jc w:val="left"/>
            </w:pPr>
            <w:r>
              <w:rPr>
                <w:b/>
                <w:bCs/>
                <w:color w:val="000000"/>
                <w:sz w:val="19"/>
                <w:szCs w:val="19"/>
              </w:rPr>
              <w:t xml:space="preserve">Sales Manager / End User</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[Diisi]</w:t>
            </w:r>
          </w:p>
        </w:tc>
        <w:tc>
          <w:tcPr>
            <w:tcW w:type="dxa" w:w="4300"/>
            <w:shd w:fill="F2F2F2" w:color="auto" w:val="clear"/>
            <w:tcMar>
              <w:top w:type="dxa" w:w="80"/>
              <w:left w:type="dxa" w:w="100"/>
              <w:bottom w:type="dxa" w:w="80"/>
              <w:right w:type="dxa" w:w="100"/>
            </w:tcMar>
          </w:tcPr>
          <w:p>
            <w:pPr>
              <w:jc w:val="left"/>
            </w:pPr>
            <w:r>
              <w:rPr>
                <w:b w:val="false"/>
                <w:bCs w:val="false"/>
                <w:color w:val="000000"/>
                <w:sz w:val="19"/>
                <w:szCs w:val="19"/>
              </w:rPr>
              <w:t xml:space="preserve">Memvalidasi kebutuhan operasional (mis. alur GPS check-in, close reason) sesuai praktik lapangan.</w:t>
            </w:r>
          </w:p>
        </w:tc>
      </w:tr>
      <w:tr>
        <w:tc>
          <w:tcPr>
            <w:tcW w:type="dxa" w:w="2600"/>
            <w:shd w:fill="FFFFFF" w:color="auto" w:val="clear"/>
            <w:tcMar>
              <w:top w:type="dxa" w:w="80"/>
              <w:left w:type="dxa" w:w="100"/>
              <w:bottom w:type="dxa" w:w="80"/>
              <w:right w:type="dxa" w:w="100"/>
            </w:tcMar>
          </w:tcPr>
          <w:p>
            <w:pPr>
              <w:jc w:val="left"/>
            </w:pPr>
            <w:r>
              <w:rPr>
                <w:b/>
                <w:bCs/>
                <w:color w:val="000000"/>
                <w:sz w:val="19"/>
                <w:szCs w:val="19"/>
              </w:rPr>
              <w:t xml:space="preserve">Tim Developer Salesappv20</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[Diisi]</w:t>
            </w:r>
          </w:p>
        </w:tc>
        <w:tc>
          <w:tcPr>
            <w:tcW w:type="dxa" w:w="4300"/>
            <w:shd w:fill="FFFFFF" w:color="auto" w:val="clear"/>
            <w:tcMar>
              <w:top w:type="dxa" w:w="80"/>
              <w:left w:type="dxa" w:w="100"/>
              <w:bottom w:type="dxa" w:w="80"/>
              <w:right w:type="dxa" w:w="100"/>
            </w:tcMar>
          </w:tcPr>
          <w:p>
            <w:pPr>
              <w:jc w:val="left"/>
            </w:pPr>
            <w:r>
              <w:rPr>
                <w:b w:val="false"/>
                <w:bCs w:val="false"/>
                <w:color w:val="000000"/>
                <w:sz w:val="19"/>
                <w:szCs w:val="19"/>
              </w:rPr>
              <w:t xml:space="preserve">Menilai ulang estimasi effort, mengeksekusi item backlog, melaporkan kendala teknis.</w:t>
            </w:r>
          </w:p>
        </w:tc>
      </w:tr>
      <w:tr>
        <w:tc>
          <w:tcPr>
            <w:tcW w:type="dxa" w:w="2600"/>
            <w:shd w:fill="F2F2F2" w:color="auto" w:val="clear"/>
            <w:tcMar>
              <w:top w:type="dxa" w:w="80"/>
              <w:left w:type="dxa" w:w="100"/>
              <w:bottom w:type="dxa" w:w="80"/>
              <w:right w:type="dxa" w:w="100"/>
            </w:tcMar>
          </w:tcPr>
          <w:p>
            <w:pPr>
              <w:jc w:val="left"/>
            </w:pPr>
            <w:r>
              <w:rPr>
                <w:b/>
                <w:bCs/>
                <w:color w:val="000000"/>
                <w:sz w:val="19"/>
                <w:szCs w:val="19"/>
              </w:rPr>
              <w:t xml:space="preserve">Data Engineering / Analis</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Suhendar Aditya</w:t>
            </w:r>
          </w:p>
        </w:tc>
        <w:tc>
          <w:tcPr>
            <w:tcW w:type="dxa" w:w="4300"/>
            <w:shd w:fill="F2F2F2" w:color="auto" w:val="clear"/>
            <w:tcMar>
              <w:top w:type="dxa" w:w="80"/>
              <w:left w:type="dxa" w:w="100"/>
              <w:bottom w:type="dxa" w:w="80"/>
              <w:right w:type="dxa" w:w="100"/>
            </w:tcMar>
          </w:tcPr>
          <w:p>
            <w:pPr>
              <w:jc w:val="left"/>
            </w:pPr>
            <w:r>
              <w:rPr>
                <w:b w:val="false"/>
                <w:bCs w:val="false"/>
                <w:color w:val="000000"/>
                <w:sz w:val="19"/>
                <w:szCs w:val="19"/>
              </w:rPr>
              <w:t xml:space="preserve">Menyusun analisis gap &amp; backlog, menjembatani kebutuhan bisnis dan teknis.</w:t>
            </w:r>
          </w:p>
        </w:tc>
      </w:tr>
      <w:tr>
        <w:tc>
          <w:tcPr>
            <w:tcW w:type="dxa" w:w="2600"/>
            <w:shd w:fill="FFFFFF" w:color="auto" w:val="clear"/>
            <w:tcMar>
              <w:top w:type="dxa" w:w="80"/>
              <w:left w:type="dxa" w:w="100"/>
              <w:bottom w:type="dxa" w:w="80"/>
              <w:right w:type="dxa" w:w="100"/>
            </w:tcMar>
          </w:tcPr>
          <w:p>
            <w:pPr>
              <w:jc w:val="left"/>
            </w:pPr>
            <w:r>
              <w:rPr>
                <w:b/>
                <w:bCs/>
                <w:color w:val="000000"/>
                <w:sz w:val="19"/>
                <w:szCs w:val="19"/>
              </w:rPr>
              <w:t xml:space="preserve">IT/Data Governance (bila relevan)</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[Diisi]</w:t>
            </w:r>
          </w:p>
        </w:tc>
        <w:tc>
          <w:tcPr>
            <w:tcW w:type="dxa" w:w="4300"/>
            <w:shd w:fill="FFFFFF" w:color="auto" w:val="clear"/>
            <w:tcMar>
              <w:top w:type="dxa" w:w="80"/>
              <w:left w:type="dxa" w:w="100"/>
              <w:bottom w:type="dxa" w:w="80"/>
              <w:right w:type="dxa" w:w="100"/>
            </w:tcMar>
          </w:tcPr>
          <w:p>
            <w:pPr>
              <w:jc w:val="left"/>
            </w:pPr>
            <w:r>
              <w:rPr>
                <w:b w:val="false"/>
                <w:bCs w:val="false"/>
                <w:color w:val="000000"/>
                <w:sz w:val="19"/>
                <w:szCs w:val="19"/>
              </w:rPr>
              <w:t xml:space="preserve">Meninjau kebutuhan keamanan data &amp; akses bila Salesappv20 menyimpan data komersial sensitif.</w:t>
            </w:r>
          </w:p>
        </w:tc>
      </w:tr>
    </w:tbl>
    <w:p>
      <w:pPr>
        <w:pStyle w:val="Heading1"/>
        <w:spacing w:after="160" w:before="360"/>
      </w:pPr>
      <w:r>
        <w:rPr>
          <w:b/>
          <w:bCs/>
          <w:color w:val="1F3864"/>
          <w:sz w:val="30"/>
          <w:szCs w:val="30"/>
        </w:rPr>
        <w:t xml:space="preserve">6. Kondisi Saat Ini (Ringkasan As-Is)</w:t>
      </w:r>
    </w:p>
    <w:p>
      <w:pPr>
        <w:spacing w:after="140" w:line="276"/>
      </w:pPr>
      <w:r>
        <w:rPr>
          <w:sz w:val="21"/>
          <w:szCs w:val="21"/>
        </w:rPr>
        <w:t xml:space="preserve">Ringkasan temuan detail ada di dokumen Gap Analysis terlampir. Poin kunci:</w:t>
      </w:r>
    </w:p>
    <w:p>
      <w:pPr>
        <w:pStyle w:val="ListParagraph"/>
        <w:numPr>
          <w:ilvl w:val="0"/>
          <w:numId w:val="2"/>
        </w:numPr>
        <w:spacing w:after="80" w:line="276"/>
      </w:pPr>
      <w:r>
        <w:rPr>
          <w:sz w:val="21"/>
          <w:szCs w:val="21"/>
        </w:rPr>
        <w:t xml:space="preserve">Cakupan fitur Salesappv20 sudah luas dan pada beberapa area (CPQ, Quotation) justru lebih lengkap daripada Salesforce Sales Cloud standar.</w:t>
      </w:r>
    </w:p>
    <w:p>
      <w:pPr>
        <w:pStyle w:val="ListParagraph"/>
        <w:numPr>
          <w:ilvl w:val="0"/>
          <w:numId w:val="2"/>
        </w:numPr>
        <w:spacing w:after="80" w:line="276"/>
      </w:pPr>
      <w:r>
        <w:rPr>
          <w:sz w:val="21"/>
          <w:szCs w:val="21"/>
        </w:rPr>
        <w:t xml:space="preserve">Namun 6 modul yang sudah dikodekan tidak dapat diakses karena tidak terhubung ke navigasi aplikasi (lihat BR-01, BR-02).</w:t>
      </w:r>
    </w:p>
    <w:p>
      <w:pPr>
        <w:pStyle w:val="ListParagraph"/>
        <w:numPr>
          <w:ilvl w:val="0"/>
          <w:numId w:val="2"/>
        </w:numPr>
        <w:spacing w:after="80" w:line="276"/>
      </w:pPr>
      <w:r>
        <w:rPr>
          <w:sz w:val="21"/>
          <w:szCs w:val="21"/>
        </w:rPr>
        <w:t xml:space="preserve">Tidak ada mekanisme validasi lokasi kunjungan (GPS), struktur alasan won/lost pada Opportunity belum wajib diisi, dan beberapa data master (klasifikasi account, wilayah) belum terstruktur.</w:t>
      </w:r>
    </w:p>
    <w:p>
      <w:pPr>
        <w:pStyle w:val="ListParagraph"/>
        <w:numPr>
          <w:ilvl w:val="0"/>
          <w:numId w:val="2"/>
        </w:numPr>
        <w:spacing w:after="80" w:line="276"/>
      </w:pPr>
      <w:r>
        <w:rPr>
          <w:sz w:val="21"/>
          <w:szCs w:val="21"/>
        </w:rPr>
        <w:t xml:space="preserve">Model peran/akses pengguna saat ini berbasis field string sederhana, belum granular selevel profile/permission set.</w:t>
      </w:r>
    </w:p>
    <w:p>
      <w:pPr>
        <w:pStyle w:val="Heading1"/>
        <w:spacing w:after="160" w:before="360"/>
      </w:pPr>
      <w:r>
        <w:rPr>
          <w:b/>
          <w:bCs/>
          <w:color w:val="1F3864"/>
          <w:sz w:val="30"/>
          <w:szCs w:val="30"/>
        </w:rPr>
        <w:t xml:space="preserve">7. Kebutuhan Bisnis (Business Requirements)</w:t>
      </w:r>
    </w:p>
    <w:p>
      <w:pPr>
        <w:spacing w:after="140" w:line="276"/>
      </w:pPr>
      <w:r>
        <w:rPr>
          <w:sz w:val="21"/>
          <w:szCs w:val="21"/>
        </w:rPr>
        <w:t xml:space="preserve">Setiap kebutuhan bisnis (BR) dipetakan ke item backlog teknis (BL) yang sudah dirinci di dokumen Backlog/Mini-PRD — termasuk field data, acceptance criteria, dan estimasi effort. Tabel ini adalah ringkasan tingkat bisnis, bukan spesifikasi teknis.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1500"/>
        <w:gridCol w:w="1300"/>
      </w:tblGrid>
      <w:tr>
        <w:trPr>
          <w:tblHeader/>
        </w:trPr>
        <w:tc>
          <w:tcPr>
            <w:tcW w:type="dxa" w:w="1300"/>
            <w:shd w:fill="1F3864" w:color="auto" w:val="clear"/>
            <w:tcMar>
              <w:top w:type="dxa" w:w="80"/>
              <w:left w:type="dxa" w:w="100"/>
              <w:bottom w:type="dxa" w:w="80"/>
              <w:right w:type="dxa" w:w="100"/>
            </w:tcMar>
          </w:tcPr>
          <w:p>
            <w:pPr>
              <w:jc w:val="left"/>
            </w:pPr>
            <w:r>
              <w:rPr>
                <w:b/>
                <w:bCs/>
                <w:color w:val="FFFFFF"/>
                <w:sz w:val="19"/>
                <w:szCs w:val="19"/>
              </w:rPr>
              <w:t xml:space="preserve">ID</w:t>
            </w:r>
          </w:p>
        </w:tc>
        <w:tc>
          <w:tcPr>
            <w:tcW w:type="dxa" w:w="5000"/>
            <w:shd w:fill="1F3864" w:color="auto" w:val="clear"/>
            <w:tcMar>
              <w:top w:type="dxa" w:w="80"/>
              <w:left w:type="dxa" w:w="100"/>
              <w:bottom w:type="dxa" w:w="80"/>
              <w:right w:type="dxa" w:w="100"/>
            </w:tcMar>
          </w:tcPr>
          <w:p>
            <w:pPr>
              <w:jc w:val="left"/>
            </w:pPr>
            <w:r>
              <w:rPr>
                <w:b/>
                <w:bCs/>
                <w:color w:val="FFFFFF"/>
                <w:sz w:val="19"/>
                <w:szCs w:val="19"/>
              </w:rPr>
              <w:t xml:space="preserve">Kebutuhan Bisnis</w:t>
            </w:r>
          </w:p>
        </w:tc>
        <w:tc>
          <w:tcPr>
            <w:tcW w:type="dxa" w:w="1500"/>
            <w:shd w:fill="1F3864" w:color="auto" w:val="clear"/>
            <w:tcMar>
              <w:top w:type="dxa" w:w="80"/>
              <w:left w:type="dxa" w:w="100"/>
              <w:bottom w:type="dxa" w:w="80"/>
              <w:right w:type="dxa" w:w="100"/>
            </w:tcMar>
          </w:tcPr>
          <w:p>
            <w:pPr>
              <w:jc w:val="left"/>
            </w:pPr>
            <w:r>
              <w:rPr>
                <w:b/>
                <w:bCs/>
                <w:color w:val="FFFFFF"/>
                <w:sz w:val="19"/>
                <w:szCs w:val="19"/>
              </w:rPr>
              <w:t xml:space="preserve">Prioritas</w:t>
            </w:r>
          </w:p>
        </w:tc>
        <w:tc>
          <w:tcPr>
            <w:tcW w:type="dxa" w:w="1300"/>
            <w:shd w:fill="1F3864" w:color="auto" w:val="clear"/>
            <w:tcMar>
              <w:top w:type="dxa" w:w="80"/>
              <w:left w:type="dxa" w:w="100"/>
              <w:bottom w:type="dxa" w:w="80"/>
              <w:right w:type="dxa" w:w="100"/>
            </w:tcMar>
          </w:tcPr>
          <w:p>
            <w:pPr>
              <w:jc w:val="left"/>
            </w:pPr>
            <w:r>
              <w:rPr>
                <w:b/>
                <w:bCs/>
                <w:color w:val="FFFFFF"/>
                <w:sz w:val="19"/>
                <w:szCs w:val="19"/>
              </w:rPr>
              <w:t xml:space="preserve">Ref. Backlog</w:t>
            </w:r>
          </w:p>
        </w:tc>
      </w:tr>
      <w:tr>
        <w:tc>
          <w:tcPr>
            <w:tcW w:type="dxa" w:w="1300"/>
            <w:shd w:fill="FFFFFF" w:color="auto" w:val="clear"/>
            <w:tcMar>
              <w:top w:type="dxa" w:w="80"/>
              <w:left w:type="dxa" w:w="100"/>
              <w:bottom w:type="dxa" w:w="80"/>
              <w:right w:type="dxa" w:w="100"/>
            </w:tcMar>
          </w:tcPr>
          <w:p>
            <w:pPr>
              <w:jc w:val="left"/>
            </w:pPr>
            <w:r>
              <w:rPr>
                <w:b/>
                <w:bCs/>
                <w:color w:val="000000"/>
                <w:sz w:val="19"/>
                <w:szCs w:val="19"/>
              </w:rPr>
              <w:t xml:space="preserve">BR-01</w:t>
            </w:r>
          </w:p>
        </w:tc>
        <w:tc>
          <w:tcPr>
            <w:tcW w:type="dxa" w:w="5000"/>
            <w:shd w:fill="FFFFFF" w:color="auto" w:val="clear"/>
            <w:tcMar>
              <w:top w:type="dxa" w:w="80"/>
              <w:left w:type="dxa" w:w="100"/>
              <w:bottom w:type="dxa" w:w="80"/>
              <w:right w:type="dxa" w:w="100"/>
            </w:tcMar>
          </w:tcPr>
          <w:p>
            <w:pPr>
              <w:jc w:val="left"/>
            </w:pPr>
            <w:r>
              <w:rPr>
                <w:b w:val="false"/>
                <w:bCs w:val="false"/>
                <w:color w:val="000000"/>
                <w:sz w:val="19"/>
                <w:szCs w:val="19"/>
              </w:rPr>
              <w:t xml:space="preserve">Sistem harus menyediakan akses fungsional penuh ke modul Lead Management dari menu navigasi utama, sehingga leads dapat dicatat, dikelola, dan dikonversi menjadi opportunity.</w:t>
            </w:r>
          </w:p>
        </w:tc>
        <w:tc>
          <w:tcPr>
            <w:tcW w:type="dxa" w:w="1500"/>
            <w:shd w:fill="FFFFFF" w:color="auto" w:val="clear"/>
            <w:tcMar>
              <w:top w:type="dxa" w:w="80"/>
              <w:left w:type="dxa" w:w="100"/>
              <w:bottom w:type="dxa" w:w="80"/>
              <w:right w:type="dxa" w:w="100"/>
            </w:tcMar>
          </w:tcPr>
          <w:p>
            <w:pPr>
              <w:jc w:val="left"/>
            </w:pPr>
            <w:r>
              <w:rPr>
                <w:b w:val="false"/>
                <w:bCs w:val="false"/>
                <w:color w:val="000000"/>
                <w:sz w:val="19"/>
                <w:szCs w:val="19"/>
              </w:rPr>
              <w:t xml:space="preserve">P0</w:t>
            </w:r>
          </w:p>
        </w:tc>
        <w:tc>
          <w:tcPr>
            <w:tcW w:type="dxa" w:w="1300"/>
            <w:shd w:fill="FFFFFF" w:color="auto" w:val="clear"/>
            <w:tcMar>
              <w:top w:type="dxa" w:w="80"/>
              <w:left w:type="dxa" w:w="100"/>
              <w:bottom w:type="dxa" w:w="80"/>
              <w:right w:type="dxa" w:w="100"/>
            </w:tcMar>
          </w:tcPr>
          <w:p>
            <w:pPr>
              <w:jc w:val="left"/>
            </w:pPr>
            <w:r>
              <w:rPr>
                <w:b w:val="false"/>
                <w:bCs w:val="false"/>
                <w:color w:val="000000"/>
                <w:sz w:val="19"/>
                <w:szCs w:val="19"/>
              </w:rPr>
              <w:t xml:space="preserve">BL-01</w:t>
            </w:r>
          </w:p>
        </w:tc>
      </w:tr>
      <w:tr>
        <w:tc>
          <w:tcPr>
            <w:tcW w:type="dxa" w:w="1300"/>
            <w:shd w:fill="F2F2F2" w:color="auto" w:val="clear"/>
            <w:tcMar>
              <w:top w:type="dxa" w:w="80"/>
              <w:left w:type="dxa" w:w="100"/>
              <w:bottom w:type="dxa" w:w="80"/>
              <w:right w:type="dxa" w:w="100"/>
            </w:tcMar>
          </w:tcPr>
          <w:p>
            <w:pPr>
              <w:jc w:val="left"/>
            </w:pPr>
            <w:r>
              <w:rPr>
                <w:b/>
                <w:bCs/>
                <w:color w:val="000000"/>
                <w:sz w:val="19"/>
                <w:szCs w:val="19"/>
              </w:rPr>
              <w:t xml:space="preserve">BR-02</w:t>
            </w:r>
          </w:p>
        </w:tc>
        <w:tc>
          <w:tcPr>
            <w:tcW w:type="dxa" w:w="5000"/>
            <w:shd w:fill="F2F2F2" w:color="auto" w:val="clear"/>
            <w:tcMar>
              <w:top w:type="dxa" w:w="80"/>
              <w:left w:type="dxa" w:w="100"/>
              <w:bottom w:type="dxa" w:w="80"/>
              <w:right w:type="dxa" w:w="100"/>
            </w:tcMar>
          </w:tcPr>
          <w:p>
            <w:pPr>
              <w:jc w:val="left"/>
            </w:pPr>
            <w:r>
              <w:rPr>
                <w:b w:val="false"/>
                <w:bCs w:val="false"/>
                <w:color w:val="000000"/>
                <w:sz w:val="19"/>
                <w:szCs w:val="19"/>
              </w:rPr>
              <w:t xml:space="preserve">Organisasi harus memutuskan status akhir (aktifkan atau hapus) untuk setiap modul yang sudah dikembangkan namun belum tersambung ke navigasi (Territory Management, Email Communication Hub, Integration Hub, Commission Calculator, Custom Report Builder).</w:t>
            </w:r>
          </w:p>
        </w:tc>
        <w:tc>
          <w:tcPr>
            <w:tcW w:type="dxa" w:w="1500"/>
            <w:shd w:fill="F2F2F2" w:color="auto" w:val="clear"/>
            <w:tcMar>
              <w:top w:type="dxa" w:w="80"/>
              <w:left w:type="dxa" w:w="100"/>
              <w:bottom w:type="dxa" w:w="80"/>
              <w:right w:type="dxa" w:w="100"/>
            </w:tcMar>
          </w:tcPr>
          <w:p>
            <w:pPr>
              <w:jc w:val="left"/>
            </w:pPr>
            <w:r>
              <w:rPr>
                <w:b w:val="false"/>
                <w:bCs w:val="false"/>
                <w:color w:val="000000"/>
                <w:sz w:val="19"/>
                <w:szCs w:val="19"/>
              </w:rPr>
              <w:t xml:space="preserve">P0</w:t>
            </w:r>
          </w:p>
        </w:tc>
        <w:tc>
          <w:tcPr>
            <w:tcW w:type="dxa" w:w="1300"/>
            <w:shd w:fill="F2F2F2" w:color="auto" w:val="clear"/>
            <w:tcMar>
              <w:top w:type="dxa" w:w="80"/>
              <w:left w:type="dxa" w:w="100"/>
              <w:bottom w:type="dxa" w:w="80"/>
              <w:right w:type="dxa" w:w="100"/>
            </w:tcMar>
          </w:tcPr>
          <w:p>
            <w:pPr>
              <w:jc w:val="left"/>
            </w:pPr>
            <w:r>
              <w:rPr>
                <w:b w:val="false"/>
                <w:bCs w:val="false"/>
                <w:color w:val="000000"/>
                <w:sz w:val="19"/>
                <w:szCs w:val="19"/>
              </w:rPr>
              <w:t xml:space="preserve">BL-02</w:t>
            </w:r>
          </w:p>
        </w:tc>
      </w:tr>
      <w:tr>
        <w:tc>
          <w:tcPr>
            <w:tcW w:type="dxa" w:w="1300"/>
            <w:shd w:fill="FFFFFF" w:color="auto" w:val="clear"/>
            <w:tcMar>
              <w:top w:type="dxa" w:w="80"/>
              <w:left w:type="dxa" w:w="100"/>
              <w:bottom w:type="dxa" w:w="80"/>
              <w:right w:type="dxa" w:w="100"/>
            </w:tcMar>
          </w:tcPr>
          <w:p>
            <w:pPr>
              <w:jc w:val="left"/>
            </w:pPr>
            <w:r>
              <w:rPr>
                <w:b/>
                <w:bCs/>
                <w:color w:val="000000"/>
                <w:sz w:val="19"/>
                <w:szCs w:val="19"/>
              </w:rPr>
              <w:t xml:space="preserve">BR-03</w:t>
            </w:r>
          </w:p>
        </w:tc>
        <w:tc>
          <w:tcPr>
            <w:tcW w:type="dxa" w:w="5000"/>
            <w:shd w:fill="FFFFFF" w:color="auto" w:val="clear"/>
            <w:tcMar>
              <w:top w:type="dxa" w:w="80"/>
              <w:left w:type="dxa" w:w="100"/>
              <w:bottom w:type="dxa" w:w="80"/>
              <w:right w:type="dxa" w:w="100"/>
            </w:tcMar>
          </w:tcPr>
          <w:p>
            <w:pPr>
              <w:jc w:val="left"/>
            </w:pPr>
            <w:r>
              <w:rPr>
                <w:b w:val="false"/>
                <w:bCs w:val="false"/>
                <w:color w:val="000000"/>
                <w:sz w:val="19"/>
                <w:szCs w:val="19"/>
              </w:rPr>
              <w:t xml:space="preserve">Sistem harus dapat mencatat dan memvalidasi lokasi kunjungan sales lapangan (check-in) menggunakan data GPS perangkat pengguna, sebagai bagian dari Task/Activity.</w:t>
            </w:r>
          </w:p>
        </w:tc>
        <w:tc>
          <w:tcPr>
            <w:tcW w:type="dxa" w:w="1500"/>
            <w:shd w:fill="FFFFFF" w:color="auto" w:val="clear"/>
            <w:tcMar>
              <w:top w:type="dxa" w:w="80"/>
              <w:left w:type="dxa" w:w="100"/>
              <w:bottom w:type="dxa" w:w="80"/>
              <w:right w:type="dxa" w:w="100"/>
            </w:tcMar>
          </w:tcPr>
          <w:p>
            <w:pPr>
              <w:jc w:val="left"/>
            </w:pPr>
            <w:r>
              <w:rPr>
                <w:b w:val="false"/>
                <w:bCs w:val="false"/>
                <w:color w:val="000000"/>
                <w:sz w:val="19"/>
                <w:szCs w:val="19"/>
              </w:rPr>
              <w:t xml:space="preserve">P1</w:t>
            </w:r>
          </w:p>
        </w:tc>
        <w:tc>
          <w:tcPr>
            <w:tcW w:type="dxa" w:w="1300"/>
            <w:shd w:fill="FFFFFF" w:color="auto" w:val="clear"/>
            <w:tcMar>
              <w:top w:type="dxa" w:w="80"/>
              <w:left w:type="dxa" w:w="100"/>
              <w:bottom w:type="dxa" w:w="80"/>
              <w:right w:type="dxa" w:w="100"/>
            </w:tcMar>
          </w:tcPr>
          <w:p>
            <w:pPr>
              <w:jc w:val="left"/>
            </w:pPr>
            <w:r>
              <w:rPr>
                <w:b w:val="false"/>
                <w:bCs w:val="false"/>
                <w:color w:val="000000"/>
                <w:sz w:val="19"/>
                <w:szCs w:val="19"/>
              </w:rPr>
              <w:t xml:space="preserve">BL-03</w:t>
            </w:r>
          </w:p>
        </w:tc>
      </w:tr>
      <w:tr>
        <w:tc>
          <w:tcPr>
            <w:tcW w:type="dxa" w:w="1300"/>
            <w:shd w:fill="F2F2F2" w:color="auto" w:val="clear"/>
            <w:tcMar>
              <w:top w:type="dxa" w:w="80"/>
              <w:left w:type="dxa" w:w="100"/>
              <w:bottom w:type="dxa" w:w="80"/>
              <w:right w:type="dxa" w:w="100"/>
            </w:tcMar>
          </w:tcPr>
          <w:p>
            <w:pPr>
              <w:jc w:val="left"/>
            </w:pPr>
            <w:r>
              <w:rPr>
                <w:b/>
                <w:bCs/>
                <w:color w:val="000000"/>
                <w:sz w:val="19"/>
                <w:szCs w:val="19"/>
              </w:rPr>
              <w:t xml:space="preserve">BR-04</w:t>
            </w:r>
          </w:p>
        </w:tc>
        <w:tc>
          <w:tcPr>
            <w:tcW w:type="dxa" w:w="5000"/>
            <w:shd w:fill="F2F2F2" w:color="auto" w:val="clear"/>
            <w:tcMar>
              <w:top w:type="dxa" w:w="80"/>
              <w:left w:type="dxa" w:w="100"/>
              <w:bottom w:type="dxa" w:w="80"/>
              <w:right w:type="dxa" w:w="100"/>
            </w:tcMar>
          </w:tcPr>
          <w:p>
            <w:pPr>
              <w:jc w:val="left"/>
            </w:pPr>
            <w:r>
              <w:rPr>
                <w:b w:val="false"/>
                <w:bCs w:val="false"/>
                <w:color w:val="000000"/>
                <w:sz w:val="19"/>
                <w:szCs w:val="19"/>
              </w:rPr>
              <w:t xml:space="preserve">Sistem harus mewajibkan pengisian alasan terstruktur (Close Reason) dan catatan (Close Detail) setiap kali Opportunity ditutup sebagai Won atau Lost.</w:t>
            </w:r>
          </w:p>
        </w:tc>
        <w:tc>
          <w:tcPr>
            <w:tcW w:type="dxa" w:w="1500"/>
            <w:shd w:fill="F2F2F2" w:color="auto" w:val="clear"/>
            <w:tcMar>
              <w:top w:type="dxa" w:w="80"/>
              <w:left w:type="dxa" w:w="100"/>
              <w:bottom w:type="dxa" w:w="80"/>
              <w:right w:type="dxa" w:w="100"/>
            </w:tcMar>
          </w:tcPr>
          <w:p>
            <w:pPr>
              <w:jc w:val="left"/>
            </w:pPr>
            <w:r>
              <w:rPr>
                <w:b w:val="false"/>
                <w:bCs w:val="false"/>
                <w:color w:val="000000"/>
                <w:sz w:val="19"/>
                <w:szCs w:val="19"/>
              </w:rPr>
              <w:t xml:space="preserve">P1</w:t>
            </w:r>
          </w:p>
        </w:tc>
        <w:tc>
          <w:tcPr>
            <w:tcW w:type="dxa" w:w="1300"/>
            <w:shd w:fill="F2F2F2" w:color="auto" w:val="clear"/>
            <w:tcMar>
              <w:top w:type="dxa" w:w="80"/>
              <w:left w:type="dxa" w:w="100"/>
              <w:bottom w:type="dxa" w:w="80"/>
              <w:right w:type="dxa" w:w="100"/>
            </w:tcMar>
          </w:tcPr>
          <w:p>
            <w:pPr>
              <w:jc w:val="left"/>
            </w:pPr>
            <w:r>
              <w:rPr>
                <w:b w:val="false"/>
                <w:bCs w:val="false"/>
                <w:color w:val="000000"/>
                <w:sz w:val="19"/>
                <w:szCs w:val="19"/>
              </w:rPr>
              <w:t xml:space="preserve">BL-04</w:t>
            </w:r>
          </w:p>
        </w:tc>
      </w:tr>
      <w:tr>
        <w:tc>
          <w:tcPr>
            <w:tcW w:type="dxa" w:w="1300"/>
            <w:shd w:fill="FFFFFF" w:color="auto" w:val="clear"/>
            <w:tcMar>
              <w:top w:type="dxa" w:w="80"/>
              <w:left w:type="dxa" w:w="100"/>
              <w:bottom w:type="dxa" w:w="80"/>
              <w:right w:type="dxa" w:w="100"/>
            </w:tcMar>
          </w:tcPr>
          <w:p>
            <w:pPr>
              <w:jc w:val="left"/>
            </w:pPr>
            <w:r>
              <w:rPr>
                <w:b/>
                <w:bCs/>
                <w:color w:val="000000"/>
                <w:sz w:val="19"/>
                <w:szCs w:val="19"/>
              </w:rPr>
              <w:t xml:space="preserve">BR-05</w:t>
            </w:r>
          </w:p>
        </w:tc>
        <w:tc>
          <w:tcPr>
            <w:tcW w:type="dxa" w:w="5000"/>
            <w:shd w:fill="FFFFFF" w:color="auto" w:val="clear"/>
            <w:tcMar>
              <w:top w:type="dxa" w:w="80"/>
              <w:left w:type="dxa" w:w="100"/>
              <w:bottom w:type="dxa" w:w="80"/>
              <w:right w:type="dxa" w:w="100"/>
            </w:tcMar>
          </w:tcPr>
          <w:p>
            <w:pPr>
              <w:jc w:val="left"/>
            </w:pPr>
            <w:r>
              <w:rPr>
                <w:b w:val="false"/>
                <w:bCs w:val="false"/>
                <w:color w:val="000000"/>
                <w:sz w:val="19"/>
                <w:szCs w:val="19"/>
              </w:rPr>
              <w:t xml:space="preserve">Sistem harus mendukung klasifikasi Account berdasarkan Tipe, Sub Tipe, dan Sektor bisnis untuk kebutuhan segmentasi dan pelaporan.</w:t>
            </w:r>
          </w:p>
        </w:tc>
        <w:tc>
          <w:tcPr>
            <w:tcW w:type="dxa" w:w="1500"/>
            <w:shd w:fill="FFFFFF" w:color="auto" w:val="clear"/>
            <w:tcMar>
              <w:top w:type="dxa" w:w="80"/>
              <w:left w:type="dxa" w:w="100"/>
              <w:bottom w:type="dxa" w:w="80"/>
              <w:right w:type="dxa" w:w="100"/>
            </w:tcMar>
          </w:tcPr>
          <w:p>
            <w:pPr>
              <w:jc w:val="left"/>
            </w:pPr>
            <w:r>
              <w:rPr>
                <w:b w:val="false"/>
                <w:bCs w:val="false"/>
                <w:color w:val="000000"/>
                <w:sz w:val="19"/>
                <w:szCs w:val="19"/>
              </w:rPr>
              <w:t xml:space="preserve">P2</w:t>
            </w:r>
          </w:p>
        </w:tc>
        <w:tc>
          <w:tcPr>
            <w:tcW w:type="dxa" w:w="1300"/>
            <w:shd w:fill="FFFFFF" w:color="auto" w:val="clear"/>
            <w:tcMar>
              <w:top w:type="dxa" w:w="80"/>
              <w:left w:type="dxa" w:w="100"/>
              <w:bottom w:type="dxa" w:w="80"/>
              <w:right w:type="dxa" w:w="100"/>
            </w:tcMar>
          </w:tcPr>
          <w:p>
            <w:pPr>
              <w:jc w:val="left"/>
            </w:pPr>
            <w:r>
              <w:rPr>
                <w:b w:val="false"/>
                <w:bCs w:val="false"/>
                <w:color w:val="000000"/>
                <w:sz w:val="19"/>
                <w:szCs w:val="19"/>
              </w:rPr>
              <w:t xml:space="preserve">BL-05</w:t>
            </w:r>
          </w:p>
        </w:tc>
      </w:tr>
      <w:tr>
        <w:tc>
          <w:tcPr>
            <w:tcW w:type="dxa" w:w="1300"/>
            <w:shd w:fill="F2F2F2" w:color="auto" w:val="clear"/>
            <w:tcMar>
              <w:top w:type="dxa" w:w="80"/>
              <w:left w:type="dxa" w:w="100"/>
              <w:bottom w:type="dxa" w:w="80"/>
              <w:right w:type="dxa" w:w="100"/>
            </w:tcMar>
          </w:tcPr>
          <w:p>
            <w:pPr>
              <w:jc w:val="left"/>
            </w:pPr>
            <w:r>
              <w:rPr>
                <w:b/>
                <w:bCs/>
                <w:color w:val="000000"/>
                <w:sz w:val="19"/>
                <w:szCs w:val="19"/>
              </w:rPr>
              <w:t xml:space="preserve">BR-06</w:t>
            </w:r>
          </w:p>
        </w:tc>
        <w:tc>
          <w:tcPr>
            <w:tcW w:type="dxa" w:w="5000"/>
            <w:shd w:fill="F2F2F2" w:color="auto" w:val="clear"/>
            <w:tcMar>
              <w:top w:type="dxa" w:w="80"/>
              <w:left w:type="dxa" w:w="100"/>
              <w:bottom w:type="dxa" w:w="80"/>
              <w:right w:type="dxa" w:w="100"/>
            </w:tcMar>
          </w:tcPr>
          <w:p>
            <w:pPr>
              <w:jc w:val="left"/>
            </w:pPr>
            <w:r>
              <w:rPr>
                <w:b w:val="false"/>
                <w:bCs w:val="false"/>
                <w:color w:val="000000"/>
                <w:sz w:val="19"/>
                <w:szCs w:val="19"/>
              </w:rPr>
              <w:t xml:space="preserve">Sistem harus memisahkan alamat penagihan (billing) dan alamat pengiriman/kunjungan (shipping) pada data Account, termasuk koordinat lokasi.</w:t>
            </w:r>
          </w:p>
        </w:tc>
        <w:tc>
          <w:tcPr>
            <w:tcW w:type="dxa" w:w="1500"/>
            <w:shd w:fill="F2F2F2" w:color="auto" w:val="clear"/>
            <w:tcMar>
              <w:top w:type="dxa" w:w="80"/>
              <w:left w:type="dxa" w:w="100"/>
              <w:bottom w:type="dxa" w:w="80"/>
              <w:right w:type="dxa" w:w="100"/>
            </w:tcMar>
          </w:tcPr>
          <w:p>
            <w:pPr>
              <w:jc w:val="left"/>
            </w:pPr>
            <w:r>
              <w:rPr>
                <w:b w:val="false"/>
                <w:bCs w:val="false"/>
                <w:color w:val="000000"/>
                <w:sz w:val="19"/>
                <w:szCs w:val="19"/>
              </w:rPr>
              <w:t xml:space="preserve">P2</w:t>
            </w:r>
          </w:p>
        </w:tc>
        <w:tc>
          <w:tcPr>
            <w:tcW w:type="dxa" w:w="1300"/>
            <w:shd w:fill="F2F2F2" w:color="auto" w:val="clear"/>
            <w:tcMar>
              <w:top w:type="dxa" w:w="80"/>
              <w:left w:type="dxa" w:w="100"/>
              <w:bottom w:type="dxa" w:w="80"/>
              <w:right w:type="dxa" w:w="100"/>
            </w:tcMar>
          </w:tcPr>
          <w:p>
            <w:pPr>
              <w:jc w:val="left"/>
            </w:pPr>
            <w:r>
              <w:rPr>
                <w:b w:val="false"/>
                <w:bCs w:val="false"/>
                <w:color w:val="000000"/>
                <w:sz w:val="19"/>
                <w:szCs w:val="19"/>
              </w:rPr>
              <w:t xml:space="preserve">BL-06</w:t>
            </w:r>
          </w:p>
        </w:tc>
      </w:tr>
      <w:tr>
        <w:tc>
          <w:tcPr>
            <w:tcW w:type="dxa" w:w="1300"/>
            <w:shd w:fill="FFFFFF" w:color="auto" w:val="clear"/>
            <w:tcMar>
              <w:top w:type="dxa" w:w="80"/>
              <w:left w:type="dxa" w:w="100"/>
              <w:bottom w:type="dxa" w:w="80"/>
              <w:right w:type="dxa" w:w="100"/>
            </w:tcMar>
          </w:tcPr>
          <w:p>
            <w:pPr>
              <w:jc w:val="left"/>
            </w:pPr>
            <w:r>
              <w:rPr>
                <w:b/>
                <w:bCs/>
                <w:color w:val="000000"/>
                <w:sz w:val="19"/>
                <w:szCs w:val="19"/>
              </w:rPr>
              <w:t xml:space="preserve">BR-07</w:t>
            </w:r>
          </w:p>
        </w:tc>
        <w:tc>
          <w:tcPr>
            <w:tcW w:type="dxa" w:w="5000"/>
            <w:shd w:fill="FFFFFF" w:color="auto" w:val="clear"/>
            <w:tcMar>
              <w:top w:type="dxa" w:w="80"/>
              <w:left w:type="dxa" w:w="100"/>
              <w:bottom w:type="dxa" w:w="80"/>
              <w:right w:type="dxa" w:w="100"/>
            </w:tcMar>
          </w:tcPr>
          <w:p>
            <w:pPr>
              <w:jc w:val="left"/>
            </w:pPr>
            <w:r>
              <w:rPr>
                <w:b w:val="false"/>
                <w:bCs w:val="false"/>
                <w:color w:val="000000"/>
                <w:sz w:val="19"/>
                <w:szCs w:val="19"/>
              </w:rPr>
              <w:t xml:space="preserve">Sistem harus menerapkan alur status baku pada Task (Belum Mulai/Berjalan/Selesai) dan mendukung pembuatan tugas lanjutan (follow-up) langsung dari task terkait.</w:t>
            </w:r>
          </w:p>
        </w:tc>
        <w:tc>
          <w:tcPr>
            <w:tcW w:type="dxa" w:w="1500"/>
            <w:shd w:fill="FFFFFF" w:color="auto" w:val="clear"/>
            <w:tcMar>
              <w:top w:type="dxa" w:w="80"/>
              <w:left w:type="dxa" w:w="100"/>
              <w:bottom w:type="dxa" w:w="80"/>
              <w:right w:type="dxa" w:w="100"/>
            </w:tcMar>
          </w:tcPr>
          <w:p>
            <w:pPr>
              <w:jc w:val="left"/>
            </w:pPr>
            <w:r>
              <w:rPr>
                <w:b w:val="false"/>
                <w:bCs w:val="false"/>
                <w:color w:val="000000"/>
                <w:sz w:val="19"/>
                <w:szCs w:val="19"/>
              </w:rPr>
              <w:t xml:space="preserve">P2</w:t>
            </w:r>
          </w:p>
        </w:tc>
        <w:tc>
          <w:tcPr>
            <w:tcW w:type="dxa" w:w="1300"/>
            <w:shd w:fill="FFFFFF" w:color="auto" w:val="clear"/>
            <w:tcMar>
              <w:top w:type="dxa" w:w="80"/>
              <w:left w:type="dxa" w:w="100"/>
              <w:bottom w:type="dxa" w:w="80"/>
              <w:right w:type="dxa" w:w="100"/>
            </w:tcMar>
          </w:tcPr>
          <w:p>
            <w:pPr>
              <w:jc w:val="left"/>
            </w:pPr>
            <w:r>
              <w:rPr>
                <w:b w:val="false"/>
                <w:bCs w:val="false"/>
                <w:color w:val="000000"/>
                <w:sz w:val="19"/>
                <w:szCs w:val="19"/>
              </w:rPr>
              <w:t xml:space="preserve">BL-07</w:t>
            </w:r>
          </w:p>
        </w:tc>
      </w:tr>
      <w:tr>
        <w:tc>
          <w:tcPr>
            <w:tcW w:type="dxa" w:w="1300"/>
            <w:shd w:fill="F2F2F2" w:color="auto" w:val="clear"/>
            <w:tcMar>
              <w:top w:type="dxa" w:w="80"/>
              <w:left w:type="dxa" w:w="100"/>
              <w:bottom w:type="dxa" w:w="80"/>
              <w:right w:type="dxa" w:w="100"/>
            </w:tcMar>
          </w:tcPr>
          <w:p>
            <w:pPr>
              <w:jc w:val="left"/>
            </w:pPr>
            <w:r>
              <w:rPr>
                <w:b/>
                <w:bCs/>
                <w:color w:val="000000"/>
                <w:sz w:val="19"/>
                <w:szCs w:val="19"/>
              </w:rPr>
              <w:t xml:space="preserve">BR-08</w:t>
            </w:r>
          </w:p>
        </w:tc>
        <w:tc>
          <w:tcPr>
            <w:tcW w:type="dxa" w:w="5000"/>
            <w:shd w:fill="F2F2F2" w:color="auto" w:val="clear"/>
            <w:tcMar>
              <w:top w:type="dxa" w:w="80"/>
              <w:left w:type="dxa" w:w="100"/>
              <w:bottom w:type="dxa" w:w="80"/>
              <w:right w:type="dxa" w:w="100"/>
            </w:tcMar>
          </w:tcPr>
          <w:p>
            <w:pPr>
              <w:jc w:val="left"/>
            </w:pPr>
            <w:r>
              <w:rPr>
                <w:b w:val="false"/>
                <w:bCs w:val="false"/>
                <w:color w:val="000000"/>
                <w:sz w:val="19"/>
                <w:szCs w:val="19"/>
              </w:rPr>
              <w:t xml:space="preserve">Sistem harus menyajikan capaian target secara visual (indikator warna) dan konsisten di seluruh modul KPI/Forecast yang relevan.</w:t>
            </w:r>
          </w:p>
        </w:tc>
        <w:tc>
          <w:tcPr>
            <w:tcW w:type="dxa" w:w="1500"/>
            <w:shd w:fill="F2F2F2" w:color="auto" w:val="clear"/>
            <w:tcMar>
              <w:top w:type="dxa" w:w="80"/>
              <w:left w:type="dxa" w:w="100"/>
              <w:bottom w:type="dxa" w:w="80"/>
              <w:right w:type="dxa" w:w="100"/>
            </w:tcMar>
          </w:tcPr>
          <w:p>
            <w:pPr>
              <w:jc w:val="left"/>
            </w:pPr>
            <w:r>
              <w:rPr>
                <w:b w:val="false"/>
                <w:bCs w:val="false"/>
                <w:color w:val="000000"/>
                <w:sz w:val="19"/>
                <w:szCs w:val="19"/>
              </w:rPr>
              <w:t xml:space="preserve">P3</w:t>
            </w:r>
          </w:p>
        </w:tc>
        <w:tc>
          <w:tcPr>
            <w:tcW w:type="dxa" w:w="1300"/>
            <w:shd w:fill="F2F2F2" w:color="auto" w:val="clear"/>
            <w:tcMar>
              <w:top w:type="dxa" w:w="80"/>
              <w:left w:type="dxa" w:w="100"/>
              <w:bottom w:type="dxa" w:w="80"/>
              <w:right w:type="dxa" w:w="100"/>
            </w:tcMar>
          </w:tcPr>
          <w:p>
            <w:pPr>
              <w:jc w:val="left"/>
            </w:pPr>
            <w:r>
              <w:rPr>
                <w:b w:val="false"/>
                <w:bCs w:val="false"/>
                <w:color w:val="000000"/>
                <w:sz w:val="19"/>
                <w:szCs w:val="19"/>
              </w:rPr>
              <w:t xml:space="preserve">BL-08</w:t>
            </w:r>
          </w:p>
        </w:tc>
      </w:tr>
      <w:tr>
        <w:tc>
          <w:tcPr>
            <w:tcW w:type="dxa" w:w="1300"/>
            <w:shd w:fill="FFFFFF" w:color="auto" w:val="clear"/>
            <w:tcMar>
              <w:top w:type="dxa" w:w="80"/>
              <w:left w:type="dxa" w:w="100"/>
              <w:bottom w:type="dxa" w:w="80"/>
              <w:right w:type="dxa" w:w="100"/>
            </w:tcMar>
          </w:tcPr>
          <w:p>
            <w:pPr>
              <w:jc w:val="left"/>
            </w:pPr>
            <w:r>
              <w:rPr>
                <w:b/>
                <w:bCs/>
                <w:color w:val="000000"/>
                <w:sz w:val="19"/>
                <w:szCs w:val="19"/>
              </w:rPr>
              <w:t xml:space="preserve">BR-09</w:t>
            </w:r>
          </w:p>
        </w:tc>
        <w:tc>
          <w:tcPr>
            <w:tcW w:type="dxa" w:w="5000"/>
            <w:shd w:fill="FFFFFF" w:color="auto" w:val="clear"/>
            <w:tcMar>
              <w:top w:type="dxa" w:w="80"/>
              <w:left w:type="dxa" w:w="100"/>
              <w:bottom w:type="dxa" w:w="80"/>
              <w:right w:type="dxa" w:w="100"/>
            </w:tcMar>
          </w:tcPr>
          <w:p>
            <w:pPr>
              <w:jc w:val="left"/>
            </w:pPr>
            <w:r>
              <w:rPr>
                <w:b w:val="false"/>
                <w:bCs w:val="false"/>
                <w:color w:val="000000"/>
                <w:sz w:val="19"/>
                <w:szCs w:val="19"/>
              </w:rPr>
              <w:t xml:space="preserve">(Kondisional) Sistem dapat menyediakan modul pemantauan tagihan/piutang jatuh tempo (Overdues) per Account, tunduk pada konfirmasi kebutuhan bisnis.</w:t>
            </w:r>
          </w:p>
        </w:tc>
        <w:tc>
          <w:tcPr>
            <w:tcW w:type="dxa" w:w="1500"/>
            <w:shd w:fill="FFFFFF" w:color="auto" w:val="clear"/>
            <w:tcMar>
              <w:top w:type="dxa" w:w="80"/>
              <w:left w:type="dxa" w:w="100"/>
              <w:bottom w:type="dxa" w:w="80"/>
              <w:right w:type="dxa" w:w="100"/>
            </w:tcMar>
          </w:tcPr>
          <w:p>
            <w:pPr>
              <w:jc w:val="left"/>
            </w:pPr>
            <w:r>
              <w:rPr>
                <w:b w:val="false"/>
                <w:bCs w:val="false"/>
                <w:color w:val="000000"/>
                <w:sz w:val="19"/>
                <w:szCs w:val="19"/>
              </w:rPr>
              <w:t xml:space="preserve">P4</w:t>
            </w:r>
          </w:p>
        </w:tc>
        <w:tc>
          <w:tcPr>
            <w:tcW w:type="dxa" w:w="1300"/>
            <w:shd w:fill="FFFFFF" w:color="auto" w:val="clear"/>
            <w:tcMar>
              <w:top w:type="dxa" w:w="80"/>
              <w:left w:type="dxa" w:w="100"/>
              <w:bottom w:type="dxa" w:w="80"/>
              <w:right w:type="dxa" w:w="100"/>
            </w:tcMar>
          </w:tcPr>
          <w:p>
            <w:pPr>
              <w:jc w:val="left"/>
            </w:pPr>
            <w:r>
              <w:rPr>
                <w:b w:val="false"/>
                <w:bCs w:val="false"/>
                <w:color w:val="000000"/>
                <w:sz w:val="19"/>
                <w:szCs w:val="19"/>
              </w:rPr>
              <w:t xml:space="preserve">BL-09</w:t>
            </w:r>
          </w:p>
        </w:tc>
      </w:tr>
      <w:tr>
        <w:tc>
          <w:tcPr>
            <w:tcW w:type="dxa" w:w="1300"/>
            <w:shd w:fill="F2F2F2" w:color="auto" w:val="clear"/>
            <w:tcMar>
              <w:top w:type="dxa" w:w="80"/>
              <w:left w:type="dxa" w:w="100"/>
              <w:bottom w:type="dxa" w:w="80"/>
              <w:right w:type="dxa" w:w="100"/>
            </w:tcMar>
          </w:tcPr>
          <w:p>
            <w:pPr>
              <w:jc w:val="left"/>
            </w:pPr>
            <w:r>
              <w:rPr>
                <w:b/>
                <w:bCs/>
                <w:color w:val="000000"/>
                <w:sz w:val="19"/>
                <w:szCs w:val="19"/>
              </w:rPr>
              <w:t xml:space="preserve">BR-10</w:t>
            </w:r>
          </w:p>
        </w:tc>
        <w:tc>
          <w:tcPr>
            <w:tcW w:type="dxa" w:w="5000"/>
            <w:shd w:fill="F2F2F2" w:color="auto" w:val="clear"/>
            <w:tcMar>
              <w:top w:type="dxa" w:w="80"/>
              <w:left w:type="dxa" w:w="100"/>
              <w:bottom w:type="dxa" w:w="80"/>
              <w:right w:type="dxa" w:w="100"/>
            </w:tcMar>
          </w:tcPr>
          <w:p>
            <w:pPr>
              <w:jc w:val="left"/>
            </w:pPr>
            <w:r>
              <w:rPr>
                <w:b w:val="false"/>
                <w:bCs w:val="false"/>
                <w:color w:val="000000"/>
                <w:sz w:val="19"/>
                <w:szCs w:val="19"/>
              </w:rPr>
              <w:t xml:space="preserve">(Kondisional) Sistem dapat menyediakan master data wilayah administratif (provinsi) sebagai referensi baku untuk pengisian alamat.</w:t>
            </w:r>
          </w:p>
        </w:tc>
        <w:tc>
          <w:tcPr>
            <w:tcW w:type="dxa" w:w="1500"/>
            <w:shd w:fill="F2F2F2" w:color="auto" w:val="clear"/>
            <w:tcMar>
              <w:top w:type="dxa" w:w="80"/>
              <w:left w:type="dxa" w:w="100"/>
              <w:bottom w:type="dxa" w:w="80"/>
              <w:right w:type="dxa" w:w="100"/>
            </w:tcMar>
          </w:tcPr>
          <w:p>
            <w:pPr>
              <w:jc w:val="left"/>
            </w:pPr>
            <w:r>
              <w:rPr>
                <w:b w:val="false"/>
                <w:bCs w:val="false"/>
                <w:color w:val="000000"/>
                <w:sz w:val="19"/>
                <w:szCs w:val="19"/>
              </w:rPr>
              <w:t xml:space="preserve">P4</w:t>
            </w:r>
          </w:p>
        </w:tc>
        <w:tc>
          <w:tcPr>
            <w:tcW w:type="dxa" w:w="1300"/>
            <w:shd w:fill="F2F2F2" w:color="auto" w:val="clear"/>
            <w:tcMar>
              <w:top w:type="dxa" w:w="80"/>
              <w:left w:type="dxa" w:w="100"/>
              <w:bottom w:type="dxa" w:w="80"/>
              <w:right w:type="dxa" w:w="100"/>
            </w:tcMar>
          </w:tcPr>
          <w:p>
            <w:pPr>
              <w:jc w:val="left"/>
            </w:pPr>
            <w:r>
              <w:rPr>
                <w:b w:val="false"/>
                <w:bCs w:val="false"/>
                <w:color w:val="000000"/>
                <w:sz w:val="19"/>
                <w:szCs w:val="19"/>
              </w:rPr>
              <w:t xml:space="preserve">BL-10</w:t>
            </w:r>
          </w:p>
        </w:tc>
      </w:tr>
      <w:tr>
        <w:tc>
          <w:tcPr>
            <w:tcW w:type="dxa" w:w="1300"/>
            <w:shd w:fill="FFFFFF" w:color="auto" w:val="clear"/>
            <w:tcMar>
              <w:top w:type="dxa" w:w="80"/>
              <w:left w:type="dxa" w:w="100"/>
              <w:bottom w:type="dxa" w:w="80"/>
              <w:right w:type="dxa" w:w="100"/>
            </w:tcMar>
          </w:tcPr>
          <w:p>
            <w:pPr>
              <w:jc w:val="left"/>
            </w:pPr>
            <w:r>
              <w:rPr>
                <w:b/>
                <w:bCs/>
                <w:color w:val="000000"/>
                <w:sz w:val="19"/>
                <w:szCs w:val="19"/>
              </w:rPr>
              <w:t xml:space="preserve">BR-11</w:t>
            </w:r>
          </w:p>
        </w:tc>
        <w:tc>
          <w:tcPr>
            <w:tcW w:type="dxa" w:w="5000"/>
            <w:shd w:fill="FFFFFF" w:color="auto" w:val="clear"/>
            <w:tcMar>
              <w:top w:type="dxa" w:w="80"/>
              <w:left w:type="dxa" w:w="100"/>
              <w:bottom w:type="dxa" w:w="80"/>
              <w:right w:type="dxa" w:w="100"/>
            </w:tcMar>
          </w:tcPr>
          <w:p>
            <w:pPr>
              <w:jc w:val="left"/>
            </w:pPr>
            <w:r>
              <w:rPr>
                <w:b w:val="false"/>
                <w:bCs w:val="false"/>
                <w:color w:val="000000"/>
                <w:sz w:val="19"/>
                <w:szCs w:val="19"/>
              </w:rPr>
              <w:t xml:space="preserve">(Kondisional) Sistem dapat menyediakan kapabilitas pemetaan potensi pasar dan penetapan target market per wilayah (Market Mapping &amp; Targets), tunduk pada konfirmasi kebutuhan strategis.</w:t>
            </w:r>
          </w:p>
        </w:tc>
        <w:tc>
          <w:tcPr>
            <w:tcW w:type="dxa" w:w="1500"/>
            <w:shd w:fill="FFFFFF" w:color="auto" w:val="clear"/>
            <w:tcMar>
              <w:top w:type="dxa" w:w="80"/>
              <w:left w:type="dxa" w:w="100"/>
              <w:bottom w:type="dxa" w:w="80"/>
              <w:right w:type="dxa" w:w="100"/>
            </w:tcMar>
          </w:tcPr>
          <w:p>
            <w:pPr>
              <w:jc w:val="left"/>
            </w:pPr>
            <w:r>
              <w:rPr>
                <w:b w:val="false"/>
                <w:bCs w:val="false"/>
                <w:color w:val="000000"/>
                <w:sz w:val="19"/>
                <w:szCs w:val="19"/>
              </w:rPr>
              <w:t xml:space="preserve">P4</w:t>
            </w:r>
          </w:p>
        </w:tc>
        <w:tc>
          <w:tcPr>
            <w:tcW w:type="dxa" w:w="1300"/>
            <w:shd w:fill="FFFFFF" w:color="auto" w:val="clear"/>
            <w:tcMar>
              <w:top w:type="dxa" w:w="80"/>
              <w:left w:type="dxa" w:w="100"/>
              <w:bottom w:type="dxa" w:w="80"/>
              <w:right w:type="dxa" w:w="100"/>
            </w:tcMar>
          </w:tcPr>
          <w:p>
            <w:pPr>
              <w:jc w:val="left"/>
            </w:pPr>
            <w:r>
              <w:rPr>
                <w:b w:val="false"/>
                <w:bCs w:val="false"/>
                <w:color w:val="000000"/>
                <w:sz w:val="19"/>
                <w:szCs w:val="19"/>
              </w:rPr>
              <w:t xml:space="preserve">BL-11</w:t>
            </w:r>
          </w:p>
        </w:tc>
      </w:tr>
      <w:tr>
        <w:tc>
          <w:tcPr>
            <w:tcW w:type="dxa" w:w="1300"/>
            <w:shd w:fill="F2F2F2" w:color="auto" w:val="clear"/>
            <w:tcMar>
              <w:top w:type="dxa" w:w="80"/>
              <w:left w:type="dxa" w:w="100"/>
              <w:bottom w:type="dxa" w:w="80"/>
              <w:right w:type="dxa" w:w="100"/>
            </w:tcMar>
          </w:tcPr>
          <w:p>
            <w:pPr>
              <w:jc w:val="left"/>
            </w:pPr>
            <w:r>
              <w:rPr>
                <w:b/>
                <w:bCs/>
                <w:color w:val="000000"/>
                <w:sz w:val="19"/>
                <w:szCs w:val="19"/>
              </w:rPr>
              <w:t xml:space="preserve">BR-12</w:t>
            </w:r>
          </w:p>
        </w:tc>
        <w:tc>
          <w:tcPr>
            <w:tcW w:type="dxa" w:w="5000"/>
            <w:shd w:fill="F2F2F2" w:color="auto" w:val="clear"/>
            <w:tcMar>
              <w:top w:type="dxa" w:w="80"/>
              <w:left w:type="dxa" w:w="100"/>
              <w:bottom w:type="dxa" w:w="80"/>
              <w:right w:type="dxa" w:w="100"/>
            </w:tcMar>
          </w:tcPr>
          <w:p>
            <w:pPr>
              <w:jc w:val="left"/>
            </w:pPr>
            <w:r>
              <w:rPr>
                <w:b w:val="false"/>
                <w:bCs w:val="false"/>
                <w:color w:val="000000"/>
                <w:sz w:val="19"/>
                <w:szCs w:val="19"/>
              </w:rPr>
              <w:t xml:space="preserve">(Kondisional) Sistem dapat menyediakan modul inventori dasar (pencatatan stok masuk/keluar per lokasi), tunduk pada konfirmasi apakah Salesappv20 menangani sisi distribusi fisik barang.</w:t>
            </w:r>
          </w:p>
        </w:tc>
        <w:tc>
          <w:tcPr>
            <w:tcW w:type="dxa" w:w="1500"/>
            <w:shd w:fill="F2F2F2" w:color="auto" w:val="clear"/>
            <w:tcMar>
              <w:top w:type="dxa" w:w="80"/>
              <w:left w:type="dxa" w:w="100"/>
              <w:bottom w:type="dxa" w:w="80"/>
              <w:right w:type="dxa" w:w="100"/>
            </w:tcMar>
          </w:tcPr>
          <w:p>
            <w:pPr>
              <w:jc w:val="left"/>
            </w:pPr>
            <w:r>
              <w:rPr>
                <w:b w:val="false"/>
                <w:bCs w:val="false"/>
                <w:color w:val="000000"/>
                <w:sz w:val="19"/>
                <w:szCs w:val="19"/>
              </w:rPr>
              <w:t xml:space="preserve">P4</w:t>
            </w:r>
          </w:p>
        </w:tc>
        <w:tc>
          <w:tcPr>
            <w:tcW w:type="dxa" w:w="1300"/>
            <w:shd w:fill="F2F2F2" w:color="auto" w:val="clear"/>
            <w:tcMar>
              <w:top w:type="dxa" w:w="80"/>
              <w:left w:type="dxa" w:w="100"/>
              <w:bottom w:type="dxa" w:w="80"/>
              <w:right w:type="dxa" w:w="100"/>
            </w:tcMar>
          </w:tcPr>
          <w:p>
            <w:pPr>
              <w:jc w:val="left"/>
            </w:pPr>
            <w:r>
              <w:rPr>
                <w:b w:val="false"/>
                <w:bCs w:val="false"/>
                <w:color w:val="000000"/>
                <w:sz w:val="19"/>
                <w:szCs w:val="19"/>
              </w:rPr>
              <w:t xml:space="preserve">BL-12</w:t>
            </w:r>
          </w:p>
        </w:tc>
      </w:tr>
    </w:tbl>
    <w:p>
      <w:pPr>
        <w:spacing w:after="140" w:line="276"/>
      </w:pPr>
      <w:r>
        <w:rPr>
          <w:i/>
          <w:iCs/>
          <w:color w:val="595959"/>
          <w:sz w:val="18"/>
          <w:szCs w:val="18"/>
        </w:rPr>
        <w:t xml:space="preserve">Kolom Prioritas mengikuti warna: merah = P0 (segera/bug fix), kuning = P1 (dampak tinggi, sprint terdekat), hijau = P2/P3 (terencana), abu-abu = P4 (menunggu konfirmasi bisnis sebelum dieksekusi).</w:t>
      </w:r>
    </w:p>
    <w:p>
      <w:pPr>
        <w:pStyle w:val="Heading1"/>
        <w:spacing w:after="160" w:before="360"/>
      </w:pPr>
      <w:r>
        <w:rPr>
          <w:b/>
          <w:bCs/>
          <w:color w:val="1F3864"/>
          <w:sz w:val="30"/>
          <w:szCs w:val="30"/>
        </w:rPr>
        <w:t xml:space="preserve">8. Kebutuhan Non-Fungsional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19"/>
                <w:szCs w:val="19"/>
              </w:rPr>
              <w:t xml:space="preserve">Kategori</w:t>
            </w:r>
          </w:p>
        </w:tc>
        <w:tc>
          <w:tcPr>
            <w:tcW w:type="dxa" w:w="6900"/>
            <w:shd w:fill="1F3864" w:color="auto" w:val="clear"/>
            <w:tcMar>
              <w:top w:type="dxa" w:w="80"/>
              <w:left w:type="dxa" w:w="100"/>
              <w:bottom w:type="dxa" w:w="80"/>
              <w:right w:type="dxa" w:w="100"/>
            </w:tcMar>
          </w:tcPr>
          <w:p>
            <w:pPr>
              <w:jc w:val="left"/>
            </w:pPr>
            <w:r>
              <w:rPr>
                <w:b/>
                <w:bCs/>
                <w:color w:val="FFFFFF"/>
                <w:sz w:val="19"/>
                <w:szCs w:val="19"/>
              </w:rPr>
              <w:t xml:space="preserve">Kebutuhan</w:t>
            </w:r>
          </w:p>
        </w:tc>
      </w:tr>
      <w:tr>
        <w:tc>
          <w:tcPr>
            <w:tcW w:type="dxa" w:w="2600"/>
            <w:shd w:fill="FFFFFF" w:color="auto" w:val="clear"/>
            <w:tcMar>
              <w:top w:type="dxa" w:w="80"/>
              <w:left w:type="dxa" w:w="100"/>
              <w:bottom w:type="dxa" w:w="80"/>
              <w:right w:type="dxa" w:w="100"/>
            </w:tcMar>
          </w:tcPr>
          <w:p>
            <w:pPr>
              <w:jc w:val="left"/>
            </w:pPr>
            <w:r>
              <w:rPr>
                <w:b/>
                <w:bCs/>
                <w:color w:val="000000"/>
                <w:sz w:val="19"/>
                <w:szCs w:val="19"/>
              </w:rPr>
              <w:t xml:space="preserve">Keamanan &amp; Akses</w:t>
            </w:r>
          </w:p>
        </w:tc>
        <w:tc>
          <w:tcPr>
            <w:tcW w:type="dxa" w:w="6900"/>
            <w:shd w:fill="FFFFFF" w:color="auto" w:val="clear"/>
            <w:tcMar>
              <w:top w:type="dxa" w:w="80"/>
              <w:left w:type="dxa" w:w="100"/>
              <w:bottom w:type="dxa" w:w="80"/>
              <w:right w:type="dxa" w:w="100"/>
            </w:tcMar>
          </w:tcPr>
          <w:p>
            <w:pPr>
              <w:jc w:val="left"/>
            </w:pPr>
            <w:r>
              <w:rPr>
                <w:b w:val="false"/>
                <w:bCs w:val="false"/>
                <w:color w:val="000000"/>
                <w:sz w:val="19"/>
                <w:szCs w:val="19"/>
              </w:rPr>
              <w:t xml:space="preserve">Model peran pengguna perlu ditinjau ulang agar lebih granular (object-level, idealnya field-level) sebelum aplikasi menyimpan data komersial sensitif (harga, komisi, kontrak) dalam skala lebih besar. [Perlu keputusan bisnis terpisah, di luar 12 item Bab 7].</w:t>
            </w:r>
          </w:p>
        </w:tc>
      </w:tr>
      <w:tr>
        <w:tc>
          <w:tcPr>
            <w:tcW w:type="dxa" w:w="2600"/>
            <w:shd w:fill="F2F2F2" w:color="auto" w:val="clear"/>
            <w:tcMar>
              <w:top w:type="dxa" w:w="80"/>
              <w:left w:type="dxa" w:w="100"/>
              <w:bottom w:type="dxa" w:w="80"/>
              <w:right w:type="dxa" w:w="100"/>
            </w:tcMar>
          </w:tcPr>
          <w:p>
            <w:pPr>
              <w:jc w:val="left"/>
            </w:pPr>
            <w:r>
              <w:rPr>
                <w:b/>
                <w:bCs/>
                <w:color w:val="000000"/>
                <w:sz w:val="19"/>
                <w:szCs w:val="19"/>
              </w:rPr>
              <w:t xml:space="preserve">Integritas Data</w:t>
            </w:r>
          </w:p>
        </w:tc>
        <w:tc>
          <w:tcPr>
            <w:tcW w:type="dxa" w:w="6900"/>
            <w:shd w:fill="F2F2F2" w:color="auto" w:val="clear"/>
            <w:tcMar>
              <w:top w:type="dxa" w:w="80"/>
              <w:left w:type="dxa" w:w="100"/>
              <w:bottom w:type="dxa" w:w="80"/>
              <w:right w:type="dxa" w:w="100"/>
            </w:tcMar>
          </w:tcPr>
          <w:p>
            <w:pPr>
              <w:jc w:val="left"/>
            </w:pPr>
            <w:r>
              <w:rPr>
                <w:b w:val="false"/>
                <w:bCs w:val="false"/>
                <w:color w:val="000000"/>
                <w:sz w:val="19"/>
                <w:szCs w:val="19"/>
              </w:rPr>
              <w:t xml:space="preserve">Perubahan data model (BR-05, BR-06) harus disertai skrip migrasi yang tidak menghilangkan data existing; perlu tahap validasi/QA sebelum rilis ke produksi.</w:t>
            </w:r>
          </w:p>
        </w:tc>
      </w:tr>
      <w:tr>
        <w:tc>
          <w:tcPr>
            <w:tcW w:type="dxa" w:w="2600"/>
            <w:shd w:fill="FFFFFF" w:color="auto" w:val="clear"/>
            <w:tcMar>
              <w:top w:type="dxa" w:w="80"/>
              <w:left w:type="dxa" w:w="100"/>
              <w:bottom w:type="dxa" w:w="80"/>
              <w:right w:type="dxa" w:w="100"/>
            </w:tcMar>
          </w:tcPr>
          <w:p>
            <w:pPr>
              <w:jc w:val="left"/>
            </w:pPr>
            <w:r>
              <w:rPr>
                <w:b/>
                <w:bCs/>
                <w:color w:val="000000"/>
                <w:sz w:val="19"/>
                <w:szCs w:val="19"/>
              </w:rPr>
              <w:t xml:space="preserve">Ketersediaan &amp; Mobile</w:t>
            </w:r>
          </w:p>
        </w:tc>
        <w:tc>
          <w:tcPr>
            <w:tcW w:type="dxa" w:w="6900"/>
            <w:shd w:fill="FFFFFF" w:color="auto" w:val="clear"/>
            <w:tcMar>
              <w:top w:type="dxa" w:w="80"/>
              <w:left w:type="dxa" w:w="100"/>
              <w:bottom w:type="dxa" w:w="80"/>
              <w:right w:type="dxa" w:w="100"/>
            </w:tcMar>
          </w:tcPr>
          <w:p>
            <w:pPr>
              <w:jc w:val="left"/>
            </w:pPr>
            <w:r>
              <w:rPr>
                <w:b w:val="false"/>
                <w:bCs w:val="false"/>
                <w:color w:val="000000"/>
                <w:sz w:val="19"/>
                <w:szCs w:val="19"/>
              </w:rPr>
              <w:t xml:space="preserve">Aplikasi tetap berbasis PWA (installable, offline-capable); tidak ada kebutuhan native mobile app di gelombang ini kecuali diputuskan lain oleh bisnis.</w:t>
            </w:r>
          </w:p>
        </w:tc>
      </w:tr>
      <w:tr>
        <w:tc>
          <w:tcPr>
            <w:tcW w:type="dxa" w:w="2600"/>
            <w:shd w:fill="F2F2F2" w:color="auto" w:val="clear"/>
            <w:tcMar>
              <w:top w:type="dxa" w:w="80"/>
              <w:left w:type="dxa" w:w="100"/>
              <w:bottom w:type="dxa" w:w="80"/>
              <w:right w:type="dxa" w:w="100"/>
            </w:tcMar>
          </w:tcPr>
          <w:p>
            <w:pPr>
              <w:jc w:val="left"/>
            </w:pPr>
            <w:r>
              <w:rPr>
                <w:b/>
                <w:bCs/>
                <w:color w:val="000000"/>
                <w:sz w:val="19"/>
                <w:szCs w:val="19"/>
              </w:rPr>
              <w:t xml:space="preserve">Akurasi Lokasi (BR-03)</w:t>
            </w:r>
          </w:p>
        </w:tc>
        <w:tc>
          <w:tcPr>
            <w:tcW w:type="dxa" w:w="6900"/>
            <w:shd w:fill="F2F2F2" w:color="auto" w:val="clear"/>
            <w:tcMar>
              <w:top w:type="dxa" w:w="80"/>
              <w:left w:type="dxa" w:w="100"/>
              <w:bottom w:type="dxa" w:w="80"/>
              <w:right w:type="dxa" w:w="100"/>
            </w:tcMar>
          </w:tcPr>
          <w:p>
            <w:pPr>
              <w:jc w:val="left"/>
            </w:pPr>
            <w:r>
              <w:rPr>
                <w:b w:val="false"/>
                <w:bCs w:val="false"/>
                <w:color w:val="000000"/>
                <w:sz w:val="19"/>
                <w:szCs w:val="19"/>
              </w:rPr>
              <w:t xml:space="preserve">Akurasi GPS browser bervariasi (terutama di dalam gedung); sistem tidak boleh menjadikan koordinat sebagai satu-satunya bukti kunjungan tanpa mekanisme pendukung (mis. catatan/foto opsional).</w:t>
            </w:r>
          </w:p>
        </w:tc>
      </w:tr>
      <w:tr>
        <w:tc>
          <w:tcPr>
            <w:tcW w:type="dxa" w:w="2600"/>
            <w:shd w:fill="FFFFFF" w:color="auto" w:val="clear"/>
            <w:tcMar>
              <w:top w:type="dxa" w:w="80"/>
              <w:left w:type="dxa" w:w="100"/>
              <w:bottom w:type="dxa" w:w="80"/>
              <w:right w:type="dxa" w:w="100"/>
            </w:tcMar>
          </w:tcPr>
          <w:p>
            <w:pPr>
              <w:jc w:val="left"/>
            </w:pPr>
            <w:r>
              <w:rPr>
                <w:b/>
                <w:bCs/>
                <w:color w:val="000000"/>
                <w:sz w:val="19"/>
                <w:szCs w:val="19"/>
              </w:rPr>
              <w:t xml:space="preserve">Auditability</w:t>
            </w:r>
          </w:p>
        </w:tc>
        <w:tc>
          <w:tcPr>
            <w:tcW w:type="dxa" w:w="6900"/>
            <w:shd w:fill="FFFFFF" w:color="auto" w:val="clear"/>
            <w:tcMar>
              <w:top w:type="dxa" w:w="80"/>
              <w:left w:type="dxa" w:w="100"/>
              <w:bottom w:type="dxa" w:w="80"/>
              <w:right w:type="dxa" w:w="100"/>
            </w:tcMar>
          </w:tcPr>
          <w:p>
            <w:pPr>
              <w:jc w:val="left"/>
            </w:pPr>
            <w:r>
              <w:rPr>
                <w:b w:val="false"/>
                <w:bCs w:val="false"/>
                <w:color w:val="000000"/>
                <w:sz w:val="19"/>
                <w:szCs w:val="19"/>
              </w:rPr>
              <w:t xml:space="preserve">Perubahan status Task, Opportunity (Won/Lost), dan data master sebaiknya tercatat di Audit Trail yang sudah ada di Admin System, supaya perubahan bisa ditelusuri.</w:t>
            </w:r>
          </w:p>
        </w:tc>
      </w:tr>
    </w:tbl>
    <w:p>
      <w:pPr>
        <w:pStyle w:val="Heading1"/>
        <w:spacing w:after="160" w:before="360"/>
      </w:pPr>
      <w:r>
        <w:rPr>
          <w:b/>
          <w:bCs/>
          <w:color w:val="1F3864"/>
          <w:sz w:val="30"/>
          <w:szCs w:val="30"/>
        </w:rPr>
        <w:t xml:space="preserve">9. Asumsi</w:t>
      </w:r>
    </w:p>
    <w:p>
      <w:pPr>
        <w:pStyle w:val="ListParagraph"/>
        <w:numPr>
          <w:ilvl w:val="0"/>
          <w:numId w:val="2"/>
        </w:numPr>
        <w:spacing w:after="80" w:line="276"/>
      </w:pPr>
      <w:r>
        <w:rPr>
          <w:sz w:val="21"/>
          <w:szCs w:val="21"/>
        </w:rPr>
        <w:t xml:space="preserve">Salesappv20 akan terus dikembangkan dan dipakai secara aktif oleh tim sales — bukan proyek yang akan dihentikan/diganti dalam waktu dekat.</w:t>
      </w:r>
    </w:p>
    <w:p>
      <w:pPr>
        <w:pStyle w:val="ListParagraph"/>
        <w:numPr>
          <w:ilvl w:val="0"/>
          <w:numId w:val="2"/>
        </w:numPr>
        <w:spacing w:after="80" w:line="276"/>
      </w:pPr>
      <w:r>
        <w:rPr>
          <w:sz w:val="21"/>
          <w:szCs w:val="21"/>
        </w:rPr>
        <w:t xml:space="preserve">Backend Supabase (PostgreSQL) tetap menjadi platform data utama; tidak ada rencana migrasi ke database/backend lain dalam cakupan dokumen ini.</w:t>
      </w:r>
    </w:p>
    <w:p>
      <w:pPr>
        <w:pStyle w:val="ListParagraph"/>
        <w:numPr>
          <w:ilvl w:val="0"/>
          <w:numId w:val="2"/>
        </w:numPr>
        <w:spacing w:after="80" w:line="276"/>
      </w:pPr>
      <w:r>
        <w:rPr>
          <w:sz w:val="21"/>
          <w:szCs w:val="21"/>
        </w:rPr>
        <w:t xml:space="preserve">Output modul AI (insight, prediksi, rekomendasi) yang sudah ada diasumsikan akan tetap dipertahankan sebagaimana adanya; perbaikan sumber data AI (real-time vs dummy) belum termasuk dalam 12 item Bab 7 dan perlu dibahas terpisah bila diperlukan.</w:t>
      </w:r>
    </w:p>
    <w:p>
      <w:pPr>
        <w:pStyle w:val="ListParagraph"/>
        <w:numPr>
          <w:ilvl w:val="0"/>
          <w:numId w:val="2"/>
        </w:numPr>
        <w:spacing w:after="80" w:line="276"/>
      </w:pPr>
      <w:r>
        <w:rPr>
          <w:sz w:val="21"/>
          <w:szCs w:val="21"/>
        </w:rPr>
        <w:t xml:space="preserve">Tidak ada regulasi/kepatuhan data khusus (mis. data kesehatan, data keuangan teregulasi) yang mengikat Salesappv20 — bila ternyata ada, Bab 8 (Kebutuhan Non-Fungsional) perlu ditinjau ulang.</w:t>
      </w:r>
    </w:p>
    <w:p>
      <w:pPr>
        <w:spacing w:after="100" w:line="276"/>
      </w:pPr>
      <w:r>
        <w:rPr>
          <w:b/>
          <w:bCs/>
          <w:color w:val="C0392B"/>
          <w:sz w:val="21"/>
          <w:szCs w:val="21"/>
        </w:rPr>
        <w:t xml:space="preserve">Cara memverifikasi asumsi di atas: </w:t>
      </w:r>
      <w:r>
        <w:rPr>
          <w:sz w:val="21"/>
          <w:szCs w:val="21"/>
        </w:rPr>
        <w:t xml:space="preserve"> didiskusikan dan dikonfirmasi bersama pemilik produk/bisnis dalam sesi review BRD sebelum dokumen ini difinalkan dan dijadikan dasar perencanaan sprint.</w:t>
      </w:r>
    </w:p>
    <w:p>
      <w:pPr>
        <w:pStyle w:val="Heading1"/>
        <w:spacing w:after="160" w:before="360"/>
      </w:pPr>
      <w:r>
        <w:rPr>
          <w:b/>
          <w:bCs/>
          <w:color w:val="1F3864"/>
          <w:sz w:val="30"/>
          <w:szCs w:val="30"/>
        </w:rPr>
        <w:t xml:space="preserve">10. Ketergantungan</w:t>
      </w:r>
    </w:p>
    <w:p>
      <w:pPr>
        <w:pStyle w:val="ListParagraph"/>
        <w:numPr>
          <w:ilvl w:val="0"/>
          <w:numId w:val="2"/>
        </w:numPr>
        <w:spacing w:after="80" w:line="276"/>
      </w:pPr>
      <w:r>
        <w:rPr>
          <w:sz w:val="21"/>
          <w:szCs w:val="21"/>
        </w:rPr>
        <w:t xml:space="preserve">Persetujuan Business/Product Owner untuk item Gelombang 3 (BR-09 s/d BR-12) sebelum masuk backlog aktif.</w:t>
      </w:r>
    </w:p>
    <w:p>
      <w:pPr>
        <w:pStyle w:val="ListParagraph"/>
        <w:numPr>
          <w:ilvl w:val="0"/>
          <w:numId w:val="2"/>
        </w:numPr>
        <w:spacing w:after="80" w:line="276"/>
      </w:pPr>
      <w:r>
        <w:rPr>
          <w:sz w:val="21"/>
          <w:szCs w:val="21"/>
        </w:rPr>
        <w:t xml:space="preserve">Ketersediaan kapasitas tim developer Salesappv20 untuk mengeksekusi Gelombang 1 dan 2 sesuai estimasi effort di dokumen Backlog/Mini-PRD.</w:t>
      </w:r>
    </w:p>
    <w:p>
      <w:pPr>
        <w:pStyle w:val="ListParagraph"/>
        <w:numPr>
          <w:ilvl w:val="0"/>
          <w:numId w:val="2"/>
        </w:numPr>
        <w:spacing w:after="80" w:line="276"/>
      </w:pPr>
      <w:r>
        <w:rPr>
          <w:sz w:val="21"/>
          <w:szCs w:val="21"/>
        </w:rPr>
        <w:t xml:space="preserve">Keputusan teknis lebih dulu terkait BR-01 (memilih LeadManagement.tsx atau LeadManagementSupabase.tsx sebagai versi resmi).</w:t>
      </w:r>
    </w:p>
    <w:p>
      <w:pPr>
        <w:pStyle w:val="Heading1"/>
        <w:spacing w:after="160" w:before="360"/>
      </w:pPr>
      <w:r>
        <w:rPr>
          <w:b/>
          <w:bCs/>
          <w:color w:val="1F3864"/>
          <w:sz w:val="30"/>
          <w:szCs w:val="30"/>
        </w:rPr>
        <w:t xml:space="preserve">11. Risiko &amp; Mitigasi</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000"/>
      </w:tblGrid>
      <w:tr>
        <w:trPr>
          <w:tblHeader/>
        </w:trPr>
        <w:tc>
          <w:tcPr>
            <w:tcW w:type="dxa" w:w="2800"/>
            <w:shd w:fill="1F3864" w:color="auto" w:val="clear"/>
            <w:tcMar>
              <w:top w:type="dxa" w:w="80"/>
              <w:left w:type="dxa" w:w="100"/>
              <w:bottom w:type="dxa" w:w="80"/>
              <w:right w:type="dxa" w:w="100"/>
            </w:tcMar>
          </w:tcPr>
          <w:p>
            <w:pPr>
              <w:jc w:val="left"/>
            </w:pPr>
            <w:r>
              <w:rPr>
                <w:b/>
                <w:bCs/>
                <w:color w:val="FFFFFF"/>
                <w:sz w:val="19"/>
                <w:szCs w:val="19"/>
              </w:rPr>
              <w:t xml:space="preserve">Risiko</w:t>
            </w:r>
          </w:p>
        </w:tc>
        <w:tc>
          <w:tcPr>
            <w:tcW w:type="dxa" w:w="3300"/>
            <w:shd w:fill="1F3864" w:color="auto" w:val="clear"/>
            <w:tcMar>
              <w:top w:type="dxa" w:w="80"/>
              <w:left w:type="dxa" w:w="100"/>
              <w:bottom w:type="dxa" w:w="80"/>
              <w:right w:type="dxa" w:w="100"/>
            </w:tcMar>
          </w:tcPr>
          <w:p>
            <w:pPr>
              <w:jc w:val="left"/>
            </w:pPr>
            <w:r>
              <w:rPr>
                <w:b/>
                <w:bCs/>
                <w:color w:val="FFFFFF"/>
                <w:sz w:val="19"/>
                <w:szCs w:val="19"/>
              </w:rPr>
              <w:t xml:space="preserve">Dampak</w:t>
            </w:r>
          </w:p>
        </w:tc>
        <w:tc>
          <w:tcPr>
            <w:tcW w:type="dxa" w:w="3000"/>
            <w:shd w:fill="1F3864" w:color="auto" w:val="clear"/>
            <w:tcMar>
              <w:top w:type="dxa" w:w="80"/>
              <w:left w:type="dxa" w:w="100"/>
              <w:bottom w:type="dxa" w:w="80"/>
              <w:right w:type="dxa" w:w="100"/>
            </w:tcMar>
          </w:tcPr>
          <w:p>
            <w:pPr>
              <w:jc w:val="left"/>
            </w:pPr>
            <w:r>
              <w:rPr>
                <w:b/>
                <w:bCs/>
                <w:color w:val="FFFFFF"/>
                <w:sz w:val="19"/>
                <w:szCs w:val="19"/>
              </w:rPr>
              <w:t xml:space="preserve">Mitigasi</w:t>
            </w:r>
          </w:p>
        </w:tc>
      </w:tr>
      <w:tr>
        <w:tc>
          <w:tcPr>
            <w:tcW w:type="dxa" w:w="2800"/>
            <w:shd w:fill="FFFFFF" w:color="auto" w:val="clear"/>
            <w:tcMar>
              <w:top w:type="dxa" w:w="80"/>
              <w:left w:type="dxa" w:w="100"/>
              <w:bottom w:type="dxa" w:w="80"/>
              <w:right w:type="dxa" w:w="100"/>
            </w:tcMar>
          </w:tcPr>
          <w:p>
            <w:pPr>
              <w:jc w:val="left"/>
            </w:pPr>
            <w:r>
              <w:rPr>
                <w:b/>
                <w:bCs/>
                <w:color w:val="000000"/>
                <w:sz w:val="19"/>
                <w:szCs w:val="19"/>
              </w:rPr>
              <w:t xml:space="preserve">Modul yang diaktifkan kembali (BR-02) ternyata punya bug tersembunyi karena lama tidak diuji.</w:t>
            </w:r>
          </w:p>
        </w:tc>
        <w:tc>
          <w:tcPr>
            <w:tcW w:type="dxa" w:w="3300"/>
            <w:shd w:fill="FFFFFF" w:color="auto" w:val="clear"/>
            <w:tcMar>
              <w:top w:type="dxa" w:w="80"/>
              <w:left w:type="dxa" w:w="100"/>
              <w:bottom w:type="dxa" w:w="80"/>
              <w:right w:type="dxa" w:w="100"/>
            </w:tcMar>
          </w:tcPr>
          <w:p>
            <w:pPr>
              <w:jc w:val="left"/>
            </w:pPr>
            <w:r>
              <w:rPr>
                <w:b w:val="false"/>
                <w:bCs w:val="false"/>
                <w:color w:val="000000"/>
                <w:sz w:val="19"/>
                <w:szCs w:val="19"/>
              </w:rPr>
              <w:t xml:space="preserve">Pengalaman pengguna buruk, potensi kehilangan kepercayaan terhadap rilis baru.</w:t>
            </w:r>
          </w:p>
        </w:tc>
        <w:tc>
          <w:tcPr>
            <w:tcW w:type="dxa" w:w="3000"/>
            <w:shd w:fill="FFFFFF" w:color="auto" w:val="clear"/>
            <w:tcMar>
              <w:top w:type="dxa" w:w="80"/>
              <w:left w:type="dxa" w:w="100"/>
              <w:bottom w:type="dxa" w:w="80"/>
              <w:right w:type="dxa" w:w="100"/>
            </w:tcMar>
          </w:tcPr>
          <w:p>
            <w:pPr>
              <w:jc w:val="left"/>
            </w:pPr>
            <w:r>
              <w:rPr>
                <w:b w:val="false"/>
                <w:bCs w:val="false"/>
                <w:color w:val="000000"/>
                <w:sz w:val="19"/>
                <w:szCs w:val="19"/>
              </w:rPr>
              <w:t xml:space="preserve">Lakukan smoke test menyeluruh per modul sebelum dirilis ke seluruh pengguna; pertimbangkan rilis bertahap (pilot user).</w:t>
            </w:r>
          </w:p>
        </w:tc>
      </w:tr>
      <w:tr>
        <w:tc>
          <w:tcPr>
            <w:tcW w:type="dxa" w:w="2800"/>
            <w:shd w:fill="F2F2F2" w:color="auto" w:val="clear"/>
            <w:tcMar>
              <w:top w:type="dxa" w:w="80"/>
              <w:left w:type="dxa" w:w="100"/>
              <w:bottom w:type="dxa" w:w="80"/>
              <w:right w:type="dxa" w:w="100"/>
            </w:tcMar>
          </w:tcPr>
          <w:p>
            <w:pPr>
              <w:jc w:val="left"/>
            </w:pPr>
            <w:r>
              <w:rPr>
                <w:b/>
                <w:bCs/>
                <w:color w:val="000000"/>
                <w:sz w:val="19"/>
                <w:szCs w:val="19"/>
              </w:rPr>
              <w:t xml:space="preserve">Akurasi GPS rendah di lokasi tertentu (dalam gedung, sinyal lemah).</w:t>
            </w:r>
          </w:p>
        </w:tc>
        <w:tc>
          <w:tcPr>
            <w:tcW w:type="dxa" w:w="3300"/>
            <w:shd w:fill="F2F2F2" w:color="auto" w:val="clear"/>
            <w:tcMar>
              <w:top w:type="dxa" w:w="80"/>
              <w:left w:type="dxa" w:w="100"/>
              <w:bottom w:type="dxa" w:w="80"/>
              <w:right w:type="dxa" w:w="100"/>
            </w:tcMar>
          </w:tcPr>
          <w:p>
            <w:pPr>
              <w:jc w:val="left"/>
            </w:pPr>
            <w:r>
              <w:rPr>
                <w:b w:val="false"/>
                <w:bCs w:val="false"/>
                <w:color w:val="000000"/>
                <w:sz w:val="19"/>
                <w:szCs w:val="19"/>
              </w:rPr>
              <w:t xml:space="preserve">Data kunjungan tervalidasi GPS bisa keliru atau tidak lengkap.</w:t>
            </w:r>
          </w:p>
        </w:tc>
        <w:tc>
          <w:tcPr>
            <w:tcW w:type="dxa" w:w="3000"/>
            <w:shd w:fill="F2F2F2" w:color="auto" w:val="clear"/>
            <w:tcMar>
              <w:top w:type="dxa" w:w="80"/>
              <w:left w:type="dxa" w:w="100"/>
              <w:bottom w:type="dxa" w:w="80"/>
              <w:right w:type="dxa" w:w="100"/>
            </w:tcMar>
          </w:tcPr>
          <w:p>
            <w:pPr>
              <w:jc w:val="left"/>
            </w:pPr>
            <w:r>
              <w:rPr>
                <w:b w:val="false"/>
                <w:bCs w:val="false"/>
                <w:color w:val="000000"/>
                <w:sz w:val="19"/>
                <w:szCs w:val="19"/>
              </w:rPr>
              <w:t xml:space="preserve">Jangan jadikan GPS satu-satunya bukti kunjungan; kombinasikan dengan catatan/foto opsional dan beri toleransi radius.</w:t>
            </w:r>
          </w:p>
        </w:tc>
      </w:tr>
      <w:tr>
        <w:tc>
          <w:tcPr>
            <w:tcW w:type="dxa" w:w="2800"/>
            <w:shd w:fill="FFFFFF" w:color="auto" w:val="clear"/>
            <w:tcMar>
              <w:top w:type="dxa" w:w="80"/>
              <w:left w:type="dxa" w:w="100"/>
              <w:bottom w:type="dxa" w:w="80"/>
              <w:right w:type="dxa" w:w="100"/>
            </w:tcMar>
          </w:tcPr>
          <w:p>
            <w:pPr>
              <w:jc w:val="left"/>
            </w:pPr>
            <w:r>
              <w:rPr>
                <w:b/>
                <w:bCs/>
                <w:color w:val="000000"/>
                <w:sz w:val="19"/>
                <w:szCs w:val="19"/>
              </w:rPr>
              <w:t xml:space="preserve">Item Gelombang 3 (BR-09 s/d BR-12) dikerjakan tanpa konfirmasi bisnis yang jelas.</w:t>
            </w:r>
          </w:p>
        </w:tc>
        <w:tc>
          <w:tcPr>
            <w:tcW w:type="dxa" w:w="3300"/>
            <w:shd w:fill="FFFFFF" w:color="auto" w:val="clear"/>
            <w:tcMar>
              <w:top w:type="dxa" w:w="80"/>
              <w:left w:type="dxa" w:w="100"/>
              <w:bottom w:type="dxa" w:w="80"/>
              <w:right w:type="dxa" w:w="100"/>
            </w:tcMar>
          </w:tcPr>
          <w:p>
            <w:pPr>
              <w:jc w:val="left"/>
            </w:pPr>
            <w:r>
              <w:rPr>
                <w:b w:val="false"/>
                <w:bCs w:val="false"/>
                <w:color w:val="000000"/>
                <w:sz w:val="19"/>
                <w:szCs w:val="19"/>
              </w:rPr>
              <w:t xml:space="preserve">Investasi pengembangan (effort L, 8-12 hari per item) terbuang bila fitur ternyata tidak dipakai.</w:t>
            </w:r>
          </w:p>
        </w:tc>
        <w:tc>
          <w:tcPr>
            <w:tcW w:type="dxa" w:w="3000"/>
            <w:shd w:fill="FFFFFF" w:color="auto" w:val="clear"/>
            <w:tcMar>
              <w:top w:type="dxa" w:w="80"/>
              <w:left w:type="dxa" w:w="100"/>
              <w:bottom w:type="dxa" w:w="80"/>
              <w:right w:type="dxa" w:w="100"/>
            </w:tcMar>
          </w:tcPr>
          <w:p>
            <w:pPr>
              <w:jc w:val="left"/>
            </w:pPr>
            <w:r>
              <w:rPr>
                <w:b w:val="false"/>
                <w:bCs w:val="false"/>
                <w:color w:val="000000"/>
                <w:sz w:val="19"/>
                <w:szCs w:val="19"/>
              </w:rPr>
              <w:t xml:space="preserve">Wajibkan sign-off tertulis dari Business Owner sebelum item ini masuk sprint mana pun.</w:t>
            </w:r>
          </w:p>
        </w:tc>
      </w:tr>
      <w:tr>
        <w:tc>
          <w:tcPr>
            <w:tcW w:type="dxa" w:w="2800"/>
            <w:shd w:fill="F2F2F2" w:color="auto" w:val="clear"/>
            <w:tcMar>
              <w:top w:type="dxa" w:w="80"/>
              <w:left w:type="dxa" w:w="100"/>
              <w:bottom w:type="dxa" w:w="80"/>
              <w:right w:type="dxa" w:w="100"/>
            </w:tcMar>
          </w:tcPr>
          <w:p>
            <w:pPr>
              <w:jc w:val="left"/>
            </w:pPr>
            <w:r>
              <w:rPr>
                <w:b/>
                <w:bCs/>
                <w:color w:val="000000"/>
                <w:sz w:val="19"/>
                <w:szCs w:val="19"/>
              </w:rPr>
              <w:t xml:space="preserve">Migrasi data alamat (BR-06) menyebabkan data hilang/tidak konsisten.</w:t>
            </w:r>
          </w:p>
        </w:tc>
        <w:tc>
          <w:tcPr>
            <w:tcW w:type="dxa" w:w="3300"/>
            <w:shd w:fill="F2F2F2" w:color="auto" w:val="clear"/>
            <w:tcMar>
              <w:top w:type="dxa" w:w="80"/>
              <w:left w:type="dxa" w:w="100"/>
              <w:bottom w:type="dxa" w:w="80"/>
              <w:right w:type="dxa" w:w="100"/>
            </w:tcMar>
          </w:tcPr>
          <w:p>
            <w:pPr>
              <w:jc w:val="left"/>
            </w:pPr>
            <w:r>
              <w:rPr>
                <w:b w:val="false"/>
                <w:bCs w:val="false"/>
                <w:color w:val="000000"/>
                <w:sz w:val="19"/>
                <w:szCs w:val="19"/>
              </w:rPr>
              <w:t xml:space="preserve">Kesalahan pelaporan regional, komplain data tidak akurat.</w:t>
            </w:r>
          </w:p>
        </w:tc>
        <w:tc>
          <w:tcPr>
            <w:tcW w:type="dxa" w:w="3000"/>
            <w:shd w:fill="F2F2F2" w:color="auto" w:val="clear"/>
            <w:tcMar>
              <w:top w:type="dxa" w:w="80"/>
              <w:left w:type="dxa" w:w="100"/>
              <w:bottom w:type="dxa" w:w="80"/>
              <w:right w:type="dxa" w:w="100"/>
            </w:tcMar>
          </w:tcPr>
          <w:p>
            <w:pPr>
              <w:jc w:val="left"/>
            </w:pPr>
            <w:r>
              <w:rPr>
                <w:b w:val="false"/>
                <w:bCs w:val="false"/>
                <w:color w:val="000000"/>
                <w:sz w:val="19"/>
                <w:szCs w:val="19"/>
              </w:rPr>
              <w:t xml:space="preserve">Backup data sebelum migrasi, jalankan di lingkungan staging terlebih dahulu, dan validasi jumlah baris sebelum/sesudah migrasi.</w:t>
            </w:r>
          </w:p>
        </w:tc>
      </w:tr>
    </w:tbl>
    <w:p>
      <w:pPr>
        <w:pStyle w:val="Heading1"/>
        <w:spacing w:after="160" w:before="360"/>
      </w:pPr>
      <w:r>
        <w:rPr>
          <w:b/>
          <w:bCs/>
          <w:color w:val="1F3864"/>
          <w:sz w:val="30"/>
          <w:szCs w:val="30"/>
        </w:rPr>
        <w:t xml:space="preserve">12. Kriteria Sukses (Indikatif — perlu disepakati bersama)</w:t>
      </w:r>
    </w:p>
    <w:p>
      <w:pPr>
        <w:pStyle w:val="ListParagraph"/>
        <w:numPr>
          <w:ilvl w:val="0"/>
          <w:numId w:val="2"/>
        </w:numPr>
        <w:spacing w:after="80" w:line="276"/>
      </w:pPr>
      <w:r>
        <w:rPr>
          <w:sz w:val="21"/>
          <w:szCs w:val="21"/>
        </w:rPr>
        <w:t xml:space="preserve">Modul Lead Management dapat diakses dan dipakai oleh minimal 80% sales dalam 1 minggu setelah rilis (BR-01).</w:t>
      </w:r>
    </w:p>
    <w:p>
      <w:pPr>
        <w:pStyle w:val="ListParagraph"/>
        <w:numPr>
          <w:ilvl w:val="0"/>
          <w:numId w:val="2"/>
        </w:numPr>
        <w:spacing w:after="80" w:line="276"/>
      </w:pPr>
      <w:r>
        <w:rPr>
          <w:sz w:val="21"/>
          <w:szCs w:val="21"/>
        </w:rPr>
        <w:t xml:space="preserve">Minimal 90% Task bertipe Visit yang dibuat setelah rilis memiliki data check-in GPS terisi (BR-03).</w:t>
      </w:r>
    </w:p>
    <w:p>
      <w:pPr>
        <w:pStyle w:val="ListParagraph"/>
        <w:numPr>
          <w:ilvl w:val="0"/>
          <w:numId w:val="2"/>
        </w:numPr>
        <w:spacing w:after="80" w:line="276"/>
      </w:pPr>
      <w:r>
        <w:rPr>
          <w:sz w:val="21"/>
          <w:szCs w:val="21"/>
        </w:rPr>
        <w:t xml:space="preserve">100% Opportunity yang ditutup (Won/Lost) memiliki Close Reason terisi setelah rilis (BR-04).</w:t>
      </w:r>
    </w:p>
    <w:p>
      <w:pPr>
        <w:pStyle w:val="ListParagraph"/>
        <w:numPr>
          <w:ilvl w:val="0"/>
          <w:numId w:val="2"/>
        </w:numPr>
        <w:spacing w:after="80" w:line="276"/>
      </w:pPr>
      <w:r>
        <w:rPr>
          <w:sz w:val="21"/>
          <w:szCs w:val="21"/>
        </w:rPr>
        <w:t xml:space="preserve">Tidak ada modul yang tersisa berstatus "dikodekan tapi tidak dapat diakses" setelah Gelombang 1 selesai (BR-02).</w:t>
      </w:r>
    </w:p>
    <w:p>
      <w:pPr>
        <w:spacing w:after="140" w:line="276"/>
      </w:pPr>
      <w:r>
        <w:rPr>
          <w:i/>
          <w:iCs/>
          <w:color w:val="595959"/>
          <w:sz w:val="19"/>
          <w:szCs w:val="19"/>
        </w:rPr>
        <w:t xml:space="preserve">Target angka di atas bersifat indikatif dari penulis dokumen dan perlu disepakati ulang bersama Business Owner sebagai baseline yang realistis.</w:t>
      </w:r>
    </w:p>
    <w:p>
      <w:pPr>
        <w:pStyle w:val="Heading1"/>
        <w:spacing w:after="160" w:before="360"/>
      </w:pPr>
      <w:r>
        <w:rPr>
          <w:b/>
          <w:bCs/>
          <w:color w:val="1F3864"/>
          <w:sz w:val="30"/>
          <w:szCs w:val="30"/>
        </w:rPr>
        <w:t xml:space="preserve">13. Lampiran</w:t>
      </w:r>
    </w:p>
    <w:p>
      <w:pPr>
        <w:pStyle w:val="ListParagraph"/>
        <w:numPr>
          <w:ilvl w:val="0"/>
          <w:numId w:val="2"/>
        </w:numPr>
        <w:spacing w:after="80" w:line="276"/>
      </w:pPr>
      <w:r>
        <w:rPr>
          <w:sz w:val="21"/>
          <w:szCs w:val="21"/>
        </w:rPr>
        <w:t xml:space="preserve">Gap_Analysis_Salesforce_vs_Salesappv20.docx — analisis detail perbandingan fitur, sumber, dan metodologi.</w:t>
      </w:r>
    </w:p>
    <w:p>
      <w:pPr>
        <w:pStyle w:val="ListParagraph"/>
        <w:numPr>
          <w:ilvl w:val="0"/>
          <w:numId w:val="2"/>
        </w:numPr>
        <w:spacing w:after="80" w:line="276"/>
      </w:pPr>
      <w:r>
        <w:rPr>
          <w:sz w:val="21"/>
          <w:szCs w:val="21"/>
        </w:rPr>
        <w:t xml:space="preserve">Backlog_PRD_Salesappv20.docx — rincian teknis tiap item (BL-01 s/d BL-12): user story, field data model, acceptance criteria, estimasi effort.</w:t>
      </w:r>
    </w:p>
    <w:p>
      <w:r>
        <w:br/>
        <w:t xml:space="preserve"/>
      </w:r>
    </w:p>
    <w:p>
      <w:pPr>
        <w:pStyle w:val="Heading1"/>
        <w:spacing w:after="160" w:before="360"/>
      </w:pPr>
      <w:r>
        <w:rPr>
          <w:b/>
          <w:bCs/>
          <w:color w:val="1F3864"/>
          <w:sz w:val="30"/>
          <w:szCs w:val="30"/>
        </w:rPr>
        <w:t xml:space="preserve">14. Persetujuan (Sign-off)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2100"/>
      </w:tblGrid>
      <w:tr>
        <w:trPr>
          <w:tblHeader/>
        </w:trPr>
        <w:tc>
          <w:tcPr>
            <w:tcW w:type="dxa" w:w="2500"/>
            <w:shd w:fill="1F3864" w:color="auto" w:val="clear"/>
            <w:tcMar>
              <w:top w:type="dxa" w:w="80"/>
              <w:left w:type="dxa" w:w="100"/>
              <w:bottom w:type="dxa" w:w="80"/>
              <w:right w:type="dxa" w:w="100"/>
            </w:tcMar>
          </w:tcPr>
          <w:p>
            <w:pPr>
              <w:jc w:val="left"/>
            </w:pPr>
            <w:r>
              <w:rPr>
                <w:b/>
                <w:bCs/>
                <w:color w:val="FFFFFF"/>
                <w:sz w:val="19"/>
                <w:szCs w:val="19"/>
              </w:rPr>
              <w:t xml:space="preserve">Peran</w:t>
            </w:r>
          </w:p>
        </w:tc>
        <w:tc>
          <w:tcPr>
            <w:tcW w:type="dxa" w:w="2900"/>
            <w:shd w:fill="1F3864" w:color="auto" w:val="clear"/>
            <w:tcMar>
              <w:top w:type="dxa" w:w="80"/>
              <w:left w:type="dxa" w:w="100"/>
              <w:bottom w:type="dxa" w:w="80"/>
              <w:right w:type="dxa" w:w="100"/>
            </w:tcMar>
          </w:tcPr>
          <w:p>
            <w:pPr>
              <w:jc w:val="left"/>
            </w:pPr>
            <w:r>
              <w:rPr>
                <w:b/>
                <w:bCs/>
                <w:color w:val="FFFFFF"/>
                <w:sz w:val="19"/>
                <w:szCs w:val="19"/>
              </w:rPr>
              <w:t xml:space="preserve">Nama</w:t>
            </w:r>
          </w:p>
        </w:tc>
        <w:tc>
          <w:tcPr>
            <w:tcW w:type="dxa" w:w="2100"/>
            <w:shd w:fill="1F3864" w:color="auto" w:val="clear"/>
            <w:tcMar>
              <w:top w:type="dxa" w:w="80"/>
              <w:left w:type="dxa" w:w="100"/>
              <w:bottom w:type="dxa" w:w="80"/>
              <w:right w:type="dxa" w:w="100"/>
            </w:tcMar>
          </w:tcPr>
          <w:p>
            <w:pPr>
              <w:jc w:val="left"/>
            </w:pPr>
            <w:r>
              <w:rPr>
                <w:b/>
                <w:bCs/>
                <w:color w:val="FFFFFF"/>
                <w:sz w:val="19"/>
                <w:szCs w:val="19"/>
              </w:rPr>
              <w:t xml:space="preserve">Tanda Tangan</w:t>
            </w:r>
          </w:p>
        </w:tc>
        <w:tc>
          <w:tcPr>
            <w:tcW w:type="dxa" w:w="2100"/>
            <w:shd w:fill="1F3864" w:color="auto" w:val="clear"/>
            <w:tcMar>
              <w:top w:type="dxa" w:w="80"/>
              <w:left w:type="dxa" w:w="100"/>
              <w:bottom w:type="dxa" w:w="80"/>
              <w:right w:type="dxa" w:w="100"/>
            </w:tcMar>
          </w:tcPr>
          <w:p>
            <w:pPr>
              <w:jc w:val="left"/>
            </w:pPr>
            <w:r>
              <w:rPr>
                <w:b/>
                <w:bCs/>
                <w:color w:val="FFFFFF"/>
                <w:sz w:val="19"/>
                <w:szCs w:val="19"/>
              </w:rPr>
              <w:t xml:space="preserve">Tanggal</w:t>
            </w:r>
          </w:p>
        </w:tc>
      </w:tr>
      <w:tr>
        <w:tc>
          <w:tcPr>
            <w:tcW w:type="dxa" w:w="2500"/>
            <w:shd w:fill="FFFFFF" w:color="auto" w:val="clear"/>
            <w:tcMar>
              <w:top w:type="dxa" w:w="80"/>
              <w:left w:type="dxa" w:w="100"/>
              <w:bottom w:type="dxa" w:w="80"/>
              <w:right w:type="dxa" w:w="100"/>
            </w:tcMar>
          </w:tcPr>
          <w:p>
            <w:pPr>
              <w:jc w:val="left"/>
            </w:pPr>
            <w:r>
              <w:rPr>
                <w:b/>
                <w:bCs/>
                <w:color w:val="000000"/>
                <w:sz w:val="19"/>
                <w:szCs w:val="19"/>
              </w:rPr>
              <w:t xml:space="preserve">Business/Product Owner</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
            </w:r>
          </w:p>
        </w:tc>
        <w:tc>
          <w:tcPr>
            <w:tcW w:type="dxa" w:w="2100"/>
            <w:shd w:fill="FFFFFF" w:color="auto" w:val="clear"/>
            <w:tcMar>
              <w:top w:type="dxa" w:w="80"/>
              <w:left w:type="dxa" w:w="100"/>
              <w:bottom w:type="dxa" w:w="80"/>
              <w:right w:type="dxa" w:w="100"/>
            </w:tcMar>
          </w:tcPr>
          <w:p>
            <w:pPr>
              <w:jc w:val="left"/>
            </w:pPr>
            <w:r>
              <w:rPr>
                <w:b w:val="false"/>
                <w:bCs w:val="false"/>
                <w:color w:val="000000"/>
                <w:sz w:val="19"/>
                <w:szCs w:val="19"/>
              </w:rPr>
              <w:t xml:space="preserve"/>
            </w:r>
          </w:p>
        </w:tc>
        <w:tc>
          <w:tcPr>
            <w:tcW w:type="dxa" w:w="2100"/>
            <w:shd w:fill="FFFFFF" w:color="auto" w:val="clear"/>
            <w:tcMar>
              <w:top w:type="dxa" w:w="80"/>
              <w:left w:type="dxa" w:w="100"/>
              <w:bottom w:type="dxa" w:w="80"/>
              <w:right w:type="dxa" w:w="100"/>
            </w:tcMar>
          </w:tcPr>
          <w:p>
            <w:pPr>
              <w:jc w:val="left"/>
            </w:pPr>
            <w:r>
              <w:rPr>
                <w:b w:val="false"/>
                <w:bCs w:val="false"/>
                <w:color w:val="000000"/>
                <w:sz w:val="19"/>
                <w:szCs w:val="19"/>
              </w:rPr>
              <w:t xml:space="preserve"/>
            </w:r>
          </w:p>
        </w:tc>
      </w:tr>
      <w:tr>
        <w:tc>
          <w:tcPr>
            <w:tcW w:type="dxa" w:w="2500"/>
            <w:shd w:fill="F2F2F2" w:color="auto" w:val="clear"/>
            <w:tcMar>
              <w:top w:type="dxa" w:w="80"/>
              <w:left w:type="dxa" w:w="100"/>
              <w:bottom w:type="dxa" w:w="80"/>
              <w:right w:type="dxa" w:w="100"/>
            </w:tcMar>
          </w:tcPr>
          <w:p>
            <w:pPr>
              <w:jc w:val="left"/>
            </w:pPr>
            <w:r>
              <w:rPr>
                <w:b/>
                <w:bCs/>
                <w:color w:val="000000"/>
                <w:sz w:val="19"/>
                <w:szCs w:val="19"/>
              </w:rPr>
              <w:t xml:space="preserve">Tech Lead / Developer Salesappv20</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
            </w:r>
          </w:p>
        </w:tc>
        <w:tc>
          <w:tcPr>
            <w:tcW w:type="dxa" w:w="2100"/>
            <w:shd w:fill="F2F2F2" w:color="auto" w:val="clear"/>
            <w:tcMar>
              <w:top w:type="dxa" w:w="80"/>
              <w:left w:type="dxa" w:w="100"/>
              <w:bottom w:type="dxa" w:w="80"/>
              <w:right w:type="dxa" w:w="100"/>
            </w:tcMar>
          </w:tcPr>
          <w:p>
            <w:pPr>
              <w:jc w:val="left"/>
            </w:pPr>
            <w:r>
              <w:rPr>
                <w:b w:val="false"/>
                <w:bCs w:val="false"/>
                <w:color w:val="000000"/>
                <w:sz w:val="19"/>
                <w:szCs w:val="19"/>
              </w:rPr>
              <w:t xml:space="preserve"/>
            </w:r>
          </w:p>
        </w:tc>
        <w:tc>
          <w:tcPr>
            <w:tcW w:type="dxa" w:w="2100"/>
            <w:shd w:fill="F2F2F2" w:color="auto" w:val="clear"/>
            <w:tcMar>
              <w:top w:type="dxa" w:w="80"/>
              <w:left w:type="dxa" w:w="100"/>
              <w:bottom w:type="dxa" w:w="80"/>
              <w:right w:type="dxa" w:w="100"/>
            </w:tcMar>
          </w:tcPr>
          <w:p>
            <w:pPr>
              <w:jc w:val="left"/>
            </w:pPr>
            <w:r>
              <w:rPr>
                <w:b w:val="false"/>
                <w:bCs w:val="false"/>
                <w:color w:val="000000"/>
                <w:sz w:val="19"/>
                <w:szCs w:val="19"/>
              </w:rPr>
              <w:t xml:space="preserve"/>
            </w:r>
          </w:p>
        </w:tc>
      </w:tr>
      <w:tr>
        <w:tc>
          <w:tcPr>
            <w:tcW w:type="dxa" w:w="2500"/>
            <w:shd w:fill="FFFFFF" w:color="auto" w:val="clear"/>
            <w:tcMar>
              <w:top w:type="dxa" w:w="80"/>
              <w:left w:type="dxa" w:w="100"/>
              <w:bottom w:type="dxa" w:w="80"/>
              <w:right w:type="dxa" w:w="100"/>
            </w:tcMar>
          </w:tcPr>
          <w:p>
            <w:pPr>
              <w:jc w:val="left"/>
            </w:pPr>
            <w:r>
              <w:rPr>
                <w:b/>
                <w:bCs/>
                <w:color w:val="000000"/>
                <w:sz w:val="19"/>
                <w:szCs w:val="19"/>
              </w:rPr>
              <w:t xml:space="preserve">Disusun oleh (Data &amp; Digital)</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Suhendar Aditya</w:t>
            </w:r>
          </w:p>
        </w:tc>
        <w:tc>
          <w:tcPr>
            <w:tcW w:type="dxa" w:w="2100"/>
            <w:shd w:fill="FFFFFF" w:color="auto" w:val="clear"/>
            <w:tcMar>
              <w:top w:type="dxa" w:w="80"/>
              <w:left w:type="dxa" w:w="100"/>
              <w:bottom w:type="dxa" w:w="80"/>
              <w:right w:type="dxa" w:w="100"/>
            </w:tcMar>
          </w:tcPr>
          <w:p>
            <w:pPr>
              <w:jc w:val="left"/>
            </w:pPr>
            <w:r>
              <w:rPr>
                <w:b w:val="false"/>
                <w:bCs w:val="false"/>
                <w:color w:val="000000"/>
                <w:sz w:val="19"/>
                <w:szCs w:val="19"/>
              </w:rPr>
              <w:t xml:space="preserve"/>
            </w:r>
          </w:p>
        </w:tc>
        <w:tc>
          <w:tcPr>
            <w:tcW w:type="dxa" w:w="2100"/>
            <w:shd w:fill="FFFFFF" w:color="auto" w:val="clear"/>
            <w:tcMar>
              <w:top w:type="dxa" w:w="80"/>
              <w:left w:type="dxa" w:w="100"/>
              <w:bottom w:type="dxa" w:w="80"/>
              <w:right w:type="dxa" w:w="100"/>
            </w:tcMar>
          </w:tcPr>
          <w:p>
            <w:pPr>
              <w:jc w:val="left"/>
            </w:pPr>
            <w:r>
              <w:rPr>
                <w:b w:val="false"/>
                <w:bCs w:val="false"/>
                <w:color w:val="000000"/>
                <w:sz w:val="19"/>
                <w:szCs w:val="19"/>
              </w:rPr>
              <w:t xml:space="preserve"/>
            </w:r>
          </w:p>
        </w:tc>
      </w:tr>
    </w:tbl>
    <w:p>
      <w:pPr>
        <w:pBdr>
          <w:top w:val="single" w:color="BFBFBF" w:sz="6"/>
        </w:pBdr>
        <w:spacing w:before="400"/>
      </w:pPr>
    </w:p>
    <w:p>
      <w:pPr>
        <w:spacing w:after="140" w:line="276"/>
      </w:pPr>
      <w:r>
        <w:rPr>
          <w:color w:val="595959"/>
          <w:sz w:val="18"/>
          <w:szCs w:val="18"/>
        </w:rPr>
        <w:t xml:space="preserve">Dokumen ini adalah draft awal berbasis analisis teknis (pembacaan source code dan dokumen training Salesforce Onduline), bukan hasil workshop requirement bersama stakeholder bisnis. Wajib direview dan divalidasi sebelum dipakai sebagai dasar keputusan anggaran/sprint.</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2026-09-16T03:46:39.115Z</dcterms:created>
  <dcterms:modified xsi:type="dcterms:W3CDTF">2026-09-16T03:46:39.121Z</dcterms:modified>
</cp:coreProperties>
</file>

<file path=docProps/custom.xml><?xml version="1.0" encoding="utf-8"?>
<Properties xmlns="http://schemas.openxmlformats.org/officeDocument/2006/custom-properties" xmlns:vt="http://schemas.openxmlformats.org/officeDocument/2006/docPropsVTypes"/>
</file>