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Estrategias de Traders Profesionales</w:t>
      </w:r>
    </w:p>
    <w:p>
      <w:pPr>
        <w:jc w:val="center"/>
      </w:pPr>
      <w:r>
        <w:rPr>
          <w:i/>
          <w:color w:val="B8860B"/>
          <w:sz w:val="28"/>
        </w:rPr>
        <w:t>Esencia y método operativo para skills de agentes IA</w:t>
      </w:r>
    </w:p>
    <w:p>
      <w:pPr>
        <w:jc w:val="center"/>
      </w:pPr>
      <w:r>
        <w:rPr>
          <w:sz w:val="24"/>
        </w:rPr>
        <w:t>Roster multi-activo: Bitcoin · Oro · Índices</w:t>
      </w:r>
    </w:p>
    <w:p/>
    <w:p>
      <w:pPr>
        <w:spacing w:after="120"/>
      </w:pPr>
      <w:r>
        <w:rPr>
          <w:b w:val="0"/>
          <w:i w:val="0"/>
        </w:rPr>
        <w:t>Documento de referencia para construir las skills de los agentes de trading. Reúne la esencia (filosofía y track record) y la estrategia codificable de 6 traders cuyo método no depende de fundamentales de empresa y, por tanto, se aplica a Bitcoin, oro e índices. Para cada uno se incluyen reglas operativas concretas (entrada, stop, sizing, salida) listas para traducir a lógica de agente, y una nota honesta sobre qué tan verificada está su rentabilidad.</w:t>
      </w:r>
    </w:p>
    <w:p>
      <w:r>
        <w:rPr>
          <w:b/>
          <w:color w:val="B8860B"/>
        </w:rPr>
        <w:t xml:space="preserve">Nota sobre rentabilidad: </w:t>
      </w:r>
      <w:r>
        <w:t>solo los resultados de campeonato (auditados por el concurso) y registros revisados por terceros son verificables. Las cifras de fondos privados son autoreportadas o de prensa. El valor para los agentes está en el MÉTODO, no en replicar retornos legendarios.</w:t>
      </w:r>
    </w:p>
    <w:p>
      <w:pPr>
        <w:pStyle w:val="Heading1"/>
      </w:pPr>
      <w:r>
        <w:rPr>
          <w:color w:val="1F4E79"/>
        </w:rPr>
        <w:t>Tabla comparativa del roster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Estilo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Horizonte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BTC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Índices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Codificable</w:t>
            </w:r>
          </w:p>
        </w:tc>
      </w:tr>
      <w:tr>
        <w:tc>
          <w:tcPr>
            <w:tcW w:type="dxa" w:w="1234"/>
          </w:tcPr>
          <w:p>
            <w:r>
              <w:t>Qullamaggie</w:t>
            </w:r>
          </w:p>
        </w:tc>
        <w:tc>
          <w:tcPr>
            <w:tcW w:type="dxa" w:w="1234"/>
          </w:tcPr>
          <w:p>
            <w:r>
              <w:t>Breakout de momentum</w:t>
            </w:r>
          </w:p>
        </w:tc>
        <w:tc>
          <w:tcPr>
            <w:tcW w:type="dxa" w:w="1234"/>
          </w:tcPr>
          <w:p>
            <w:r>
              <w:t>Dias-semanas</w:t>
            </w:r>
          </w:p>
        </w:tc>
        <w:tc>
          <w:tcPr>
            <w:tcW w:type="dxa" w:w="1234"/>
          </w:tcPr>
          <w:p>
            <w:r>
              <w:t>Ideal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Linda Raschke</w:t>
            </w:r>
          </w:p>
        </w:tc>
        <w:tc>
          <w:tcPr>
            <w:tcW w:type="dxa" w:w="1234"/>
          </w:tcPr>
          <w:p>
            <w:r>
              <w:t>Momentum + reversion</w:t>
            </w:r>
          </w:p>
        </w:tc>
        <w:tc>
          <w:tcPr>
            <w:tcW w:type="dxa" w:w="1234"/>
          </w:tcPr>
          <w:p>
            <w:r>
              <w:t>1-5 dias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Ideal</w:t>
            </w:r>
          </w:p>
        </w:tc>
        <w:tc>
          <w:tcPr>
            <w:tcW w:type="dxa" w:w="1234"/>
          </w:tcPr>
          <w:p>
            <w:r>
              <w:t>Ideal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Ed Seykota</w:t>
            </w:r>
          </w:p>
        </w:tc>
        <w:tc>
          <w:tcPr>
            <w:tcW w:type="dxa" w:w="1234"/>
          </w:tcPr>
          <w:p>
            <w:r>
              <w:t>Trend following sistematico</w:t>
            </w:r>
          </w:p>
        </w:tc>
        <w:tc>
          <w:tcPr>
            <w:tcW w:type="dxa" w:w="1234"/>
          </w:tcPr>
          <w:p>
            <w:r>
              <w:t>Semanas-meses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Larry Williams</w:t>
            </w:r>
          </w:p>
        </w:tc>
        <w:tc>
          <w:tcPr>
            <w:tcW w:type="dxa" w:w="1234"/>
          </w:tcPr>
          <w:p>
            <w:r>
              <w:t>Volatility breakout</w:t>
            </w:r>
          </w:p>
        </w:tc>
        <w:tc>
          <w:tcPr>
            <w:tcW w:type="dxa" w:w="1234"/>
          </w:tcPr>
          <w:p>
            <w:r>
              <w:t>Intradia-dias</w:t>
            </w:r>
          </w:p>
        </w:tc>
        <w:tc>
          <w:tcPr>
            <w:tcW w:type="dxa" w:w="1234"/>
          </w:tcPr>
          <w:p>
            <w:r>
              <w:t>Con ajuste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Ideal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Peter Brandt</w:t>
            </w:r>
          </w:p>
        </w:tc>
        <w:tc>
          <w:tcPr>
            <w:tcW w:type="dxa" w:w="1234"/>
          </w:tcPr>
          <w:p>
            <w:r>
              <w:t>Charting clasico</w:t>
            </w:r>
          </w:p>
        </w:tc>
        <w:tc>
          <w:tcPr>
            <w:tcW w:type="dxa" w:w="1234"/>
          </w:tcPr>
          <w:p>
            <w:r>
              <w:t>Semanas-meses</w:t>
            </w:r>
          </w:p>
        </w:tc>
        <w:tc>
          <w:tcPr>
            <w:tcW w:type="dxa" w:w="1234"/>
          </w:tcPr>
          <w:p>
            <w:r>
              <w:t>Ideal</w:t>
            </w:r>
          </w:p>
        </w:tc>
        <w:tc>
          <w:tcPr>
            <w:tcW w:type="dxa" w:w="1234"/>
          </w:tcPr>
          <w:p>
            <w:r>
              <w:t>Ideal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</w:tr>
      <w:tr>
        <w:tc>
          <w:tcPr>
            <w:tcW w:type="dxa" w:w="1234"/>
          </w:tcPr>
          <w:p>
            <w:r>
              <w:t>Paul Tudor Jones</w:t>
            </w:r>
          </w:p>
        </w:tc>
        <w:tc>
          <w:tcPr>
            <w:tcW w:type="dxa" w:w="1234"/>
          </w:tcPr>
          <w:p>
            <w:r>
              <w:t>Macro / filtro 200MA</w:t>
            </w:r>
          </w:p>
        </w:tc>
        <w:tc>
          <w:tcPr>
            <w:tcW w:type="dxa" w:w="1234"/>
          </w:tcPr>
          <w:p>
            <w:r>
              <w:t>Semanas-meses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rPr>
          <w:color w:val="1F4E79"/>
        </w:rPr>
        <w:t>1. Kristjan “Qullamaggie” Kullamägi — Breakout de Momentum</w:t>
      </w:r>
    </w:p>
    <w:p>
      <w:pPr>
        <w:spacing w:after="120"/>
      </w:pPr>
      <w:r>
        <w:rPr>
          <w:b/>
          <w:color w:val="1F4E79"/>
        </w:rPr>
        <w:t xml:space="preserve">Esencia del trader: </w:t>
      </w:r>
      <w:r>
        <w:rPr>
          <w:i w:val="0"/>
        </w:rPr>
        <w:t>Trader sueco que convirtió una cuenta de ~5.000–9.000 USD en decenas de millones; figuró entre los 15 mayores contribuyentes fiscales de Suecia (2020–2021), ancla verificable de su rentabilidad. Opera en vivo y no vende cursos. Su esencia: pocas operaciones de alta calidad, pérdidas pequeñas y ganadores enormes — win rate bajo (~25–30%) con asimetría extrema.</w:t>
      </w:r>
    </w:p>
    <w:p>
      <w:pPr>
        <w:spacing w:after="120"/>
      </w:pPr>
      <w:r>
        <w:rPr>
          <w:b/>
          <w:color w:val="1F4E79"/>
        </w:rPr>
        <w:t xml:space="preserve">Estrategia: </w:t>
      </w:r>
      <w:r>
        <w:rPr>
          <w:i w:val="0"/>
        </w:rPr>
        <w:t>Comprar rupturas de activos líderes que ya tuvieron un impulso fuerte y luego consolidaron de forma ordenada sobre medias ascendentes. Tres setups: Breakout/Continuation (incluye “high tight flag”), Episodic Pivots (gaps por catalizador) y Parabolic (short de extensiones extremas).</w:t>
      </w:r>
    </w:p>
    <w:p>
      <w:pPr>
        <w:spacing w:after="40"/>
      </w:pPr>
      <w:r>
        <w:rPr>
          <w:b/>
          <w:i w:val="0"/>
          <w:color w:val="1F4E79"/>
        </w:rPr>
        <w:t>Reglas operativas (codificables)</w:t>
      </w:r>
    </w:p>
    <w:p>
      <w:pPr>
        <w:pStyle w:val="ListBullet"/>
        <w:spacing w:after="60"/>
      </w:pPr>
      <w:r>
        <w:t>**Selección: el activo subió 30–100%+ en 1–3 meses y luego consolidó ~1–4 semanas con mínimos crecientes, surfeando las EMA 10/20 ascendentes.</w:t>
      </w:r>
    </w:p>
    <w:p>
      <w:pPr>
        <w:pStyle w:val="ListBullet"/>
        <w:spacing w:after="60"/>
      </w:pPr>
      <w:r>
        <w:t>**Entrada: buy-stop en la ruptura del máximo del rango de apertura (velas 1m/5m/60m).</w:t>
      </w:r>
    </w:p>
    <w:p>
      <w:pPr>
        <w:pStyle w:val="ListBullet"/>
        <w:spacing w:after="60"/>
      </w:pPr>
      <w:r>
        <w:t>**Stop: en el mínimo del día; nunca más ancho que ~1–1.5 ADR del activo.</w:t>
      </w:r>
    </w:p>
    <w:p>
      <w:pPr>
        <w:pStyle w:val="ListBullet"/>
        <w:spacing w:after="60"/>
      </w:pPr>
      <w:r>
        <w:t>**Riesgo: 0.25–1% del capital por operación; tamaño 10–20% (máx ~30% overnight por activo).</w:t>
      </w:r>
    </w:p>
    <w:p>
      <w:pPr>
        <w:pStyle w:val="ListBullet"/>
        <w:spacing w:after="60"/>
      </w:pPr>
      <w:r>
        <w:t>**Toma parcial: vender 1/3–1/2 tras 3–5 días o al alcanzar +2–3R; mover el stop a breakeven.</w:t>
      </w:r>
    </w:p>
    <w:p>
      <w:pPr>
        <w:pStyle w:val="ListBullet"/>
        <w:spacing w:after="60"/>
      </w:pPr>
      <w:r>
        <w:t>**Salida del resto: trailing con EMA 10 o 20; salir al cierre por debajo de esa media.</w:t>
      </w:r>
    </w:p>
    <w:p>
      <w:pPr>
        <w:spacing w:after="120"/>
      </w:pPr>
      <w:r>
        <w:rPr>
          <w:b/>
          <w:color w:val="1F4E79"/>
        </w:rPr>
        <w:t xml:space="preserve">Aplicación a BTC / Oro / Índices: </w:t>
      </w:r>
      <w:r>
        <w:rPr>
          <w:i w:val="0"/>
        </w:rPr>
        <w:t>Bitcoin — ideal (las altcoins se comportan como small caps explosivas). Oro — sí. Índices — sí, con movimientos más pequeños.</w:t>
      </w:r>
    </w:p>
    <w:p>
      <w:pPr>
        <w:spacing w:after="120"/>
      </w:pPr>
      <w:r>
        <w:rPr>
          <w:b/>
          <w:color w:val="1F4E79"/>
        </w:rPr>
        <w:t xml:space="preserve">Rentabilidad (honestidad): </w:t>
      </w:r>
      <w:r>
        <w:rPr>
          <w:i/>
        </w:rPr>
        <w:t>Crecimiento de cuenta autoreportado (FAQ propia), pero respaldado por su ranking fiscal sueco 2020–2021. No compite en campeonatos formales.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Linda Bradford Raschke — Momentum + Reversión</w:t>
      </w:r>
    </w:p>
    <w:p>
      <w:pPr>
        <w:spacing w:after="120"/>
      </w:pPr>
      <w:r>
        <w:rPr>
          <w:b/>
          <w:color w:val="1F4E79"/>
        </w:rPr>
        <w:t xml:space="preserve">Esencia del trader: </w:t>
      </w:r>
      <w:r>
        <w:rPr>
          <w:i w:val="0"/>
        </w:rPr>
        <w:t>Única mujer entrevistada en “The New Market Wizards”; más de 40 años operando futuros. Su Granat Fund quedó #17 de ~4.500 hedge funds por desempeño a 5 años; premio IFTA Lifetime Achievement 2024. Estilo discrecional pero con setups muy definidos y mecanizables. Esencia: operar a favor del momentum y explotar las falsas rupturas.</w:t>
      </w:r>
    </w:p>
    <w:p>
      <w:pPr>
        <w:spacing w:after="120"/>
      </w:pPr>
      <w:r>
        <w:rPr>
          <w:b/>
          <w:color w:val="1F4E79"/>
        </w:rPr>
        <w:t xml:space="preserve">Estrategia: </w:t>
      </w:r>
      <w:r>
        <w:rPr>
          <w:i w:val="0"/>
        </w:rPr>
        <w:t>Momentum, lectura de cinta y patrones clásicos sobre futuros (E-mini S&amp;P y +20 mercados). Dos setups insignia del libro “Street Smarts”: Holy Grail (entrada en pullback dentro de tendencia fuerte) y Turtle Soup (fade de falsas rupturas de 20 días).</w:t>
      </w:r>
    </w:p>
    <w:p>
      <w:pPr>
        <w:spacing w:after="40"/>
      </w:pPr>
      <w:r>
        <w:rPr>
          <w:b/>
          <w:i w:val="0"/>
          <w:color w:val="1F4E79"/>
        </w:rPr>
        <w:t>Reglas operativas (codificables)</w:t>
      </w:r>
    </w:p>
    <w:p>
      <w:pPr>
        <w:pStyle w:val="ListBullet"/>
        <w:spacing w:after="60"/>
      </w:pPr>
      <w:r>
        <w:t>**Holy Grail: con ADX(14) &gt; 30, comprar el primer retroceso a la EMA(20) por encima de la barra disparadora (inverso en corto). Siempre a favor de la tendencia.</w:t>
      </w:r>
    </w:p>
    <w:p>
      <w:pPr>
        <w:pStyle w:val="ListBullet"/>
        <w:spacing w:after="60"/>
      </w:pPr>
      <w:r>
        <w:t>**Turtle Soup: si el precio rompe el máximo/mínimo de los últimos 20 días pero falla, entrar en la dirección contraria para capturar la reversión.</w:t>
      </w:r>
    </w:p>
    <w:p>
      <w:pPr>
        <w:pStyle w:val="ListBullet"/>
        <w:spacing w:after="60"/>
      </w:pPr>
      <w:r>
        <w:t>**Filtro de entrada: ADX subiendo &gt; 30, rango de los últimos 7 días estrecho, o gaps de ruptura.</w:t>
      </w:r>
    </w:p>
    <w:p>
      <w:pPr>
        <w:pStyle w:val="ListBullet"/>
        <w:spacing w:after="60"/>
      </w:pPr>
      <w:r>
        <w:t>**Stop: definido ANTES de entrar, en soporte/resistencia; más ajustado en swings, más amplio en tendencias.</w:t>
      </w:r>
    </w:p>
    <w:p>
      <w:pPr>
        <w:pStyle w:val="ListBullet"/>
        <w:spacing w:after="60"/>
      </w:pPr>
      <w:r>
        <w:t>**Sizing: por volatilidad (riesgo en USD estandarizado según el rango medio diario / ADR).</w:t>
      </w:r>
    </w:p>
    <w:p>
      <w:pPr>
        <w:pStyle w:val="ListBullet"/>
        <w:spacing w:after="60"/>
      </w:pPr>
      <w:r>
        <w:t>**Salidas: sin objetivos rígidos; mantener ganadoras overnight, NUNCA perdedoras.</w:t>
      </w:r>
    </w:p>
    <w:p>
      <w:pPr>
        <w:spacing w:after="120"/>
      </w:pPr>
      <w:r>
        <w:rPr>
          <w:b/>
          <w:color w:val="1F4E79"/>
        </w:rPr>
        <w:t xml:space="preserve">Aplicación a BTC / Oro / Índices: </w:t>
      </w:r>
      <w:r>
        <w:rPr>
          <w:i w:val="0"/>
        </w:rPr>
        <w:t>Índices — ideal (opera E-mini S&amp;P). Oro — ideal (commodities). Bitcoin — sí, con sizing por volatilidad.</w:t>
      </w:r>
    </w:p>
    <w:p>
      <w:pPr>
        <w:spacing w:after="120"/>
      </w:pPr>
      <w:r>
        <w:rPr>
          <w:b/>
          <w:color w:val="1F4E79"/>
        </w:rPr>
        <w:t xml:space="preserve">Rentabilidad (honestidad): </w:t>
      </w:r>
      <w:r>
        <w:rPr>
          <w:i/>
        </w:rPr>
        <w:t>Distinciones verificables (Market Wizards, ranking BarclayHedge). Sin retornos anuales auditados públicos; AUM real ~145M USD en su pico.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Ed Seykota — Trend Following Sistemático</w:t>
      </w:r>
    </w:p>
    <w:p>
      <w:pPr>
        <w:spacing w:after="120"/>
      </w:pPr>
      <w:r>
        <w:rPr>
          <w:b/>
          <w:color w:val="1F4E79"/>
        </w:rPr>
        <w:t xml:space="preserve">Esencia del trader: </w:t>
      </w:r>
      <w:r>
        <w:rPr>
          <w:i w:val="0"/>
        </w:rPr>
        <w:t>Pionero del trading computarizado (años 70, mainframe IBM). En “Market Wizards” se cita que convirtió 5.000 USD en ~15 millones en ~12 años; su track personal 1990–2000 fue revisado por Tom Rollinger mostrando ~60% anual. Opera 100% por precio, cero fundamentales — por eso su sistema es totalmente agnóstico al activo. Esencia: seguir la tendencia con disciplina absoluta y cortar pérdidas sin emoción.</w:t>
      </w:r>
    </w:p>
    <w:p>
      <w:pPr>
        <w:spacing w:after="120"/>
      </w:pPr>
      <w:r>
        <w:rPr>
          <w:b/>
          <w:color w:val="1F4E79"/>
        </w:rPr>
        <w:t xml:space="preserve">Estrategia: </w:t>
      </w:r>
      <w:r>
        <w:rPr>
          <w:i w:val="0"/>
        </w:rPr>
        <w:t>Trend following mecánico sobre una cartera amplia y diversificada de futuros, con datos de cierre diario. Filosofía: “muchos perdedores pequeños y pocos ganadores grandes”.</w:t>
      </w:r>
    </w:p>
    <w:p>
      <w:pPr>
        <w:spacing w:after="40"/>
      </w:pPr>
      <w:r>
        <w:rPr>
          <w:b/>
          <w:i w:val="0"/>
          <w:color w:val="1F4E79"/>
        </w:rPr>
        <w:t>Reglas operativas (codificables)</w:t>
      </w:r>
    </w:p>
    <w:p>
      <w:pPr>
        <w:pStyle w:val="ListBullet"/>
        <w:spacing w:after="60"/>
      </w:pPr>
      <w:r>
        <w:t>**Señal base: cruce/seguimiento de EMAs (linaje de las medias 5 y 20 de Donchian) + filtro de volatilidad; entrada por buy-stop en dirección de la tendencia.</w:t>
      </w:r>
    </w:p>
    <w:p>
      <w:pPr>
        <w:pStyle w:val="ListBullet"/>
        <w:spacing w:after="60"/>
      </w:pPr>
      <w:r>
        <w:t>**Stop inicial: definido ANTES de entrar, donde “el gráfico se agria”; salida mecánica al tocarlo.</w:t>
      </w:r>
    </w:p>
    <w:p>
      <w:pPr>
        <w:pStyle w:val="ListBullet"/>
        <w:spacing w:after="60"/>
      </w:pPr>
      <w:r>
        <w:t>**Riesgo: &lt; 1–2% por operación (tope práctico ~5% de la cuenta especulativa); especular con &lt; 10% del patrimonio líquido.</w:t>
      </w:r>
    </w:p>
    <w:p>
      <w:pPr>
        <w:pStyle w:val="ListBullet"/>
        <w:spacing w:after="60"/>
      </w:pPr>
      <w:r>
        <w:t>**Sizing: por riesgo y volatilidad del mercado; construir la posición piramidando, no de golpe.</w:t>
      </w:r>
    </w:p>
    <w:p>
      <w:pPr>
        <w:pStyle w:val="ListBullet"/>
        <w:spacing w:after="60"/>
      </w:pPr>
      <w:r>
        <w:t>**Salida: trailing stop que sube; dejar correr ganadores; reducir exposición en alta volatilidad.</w:t>
      </w:r>
    </w:p>
    <w:p>
      <w:pPr>
        <w:pStyle w:val="ListBullet"/>
        <w:spacing w:after="60"/>
      </w:pPr>
      <w:r>
        <w:t>**Diversificación: operar muchos mercados no correlacionados a la vez; NO cambiar el sistema, solo seguirlo.</w:t>
      </w:r>
    </w:p>
    <w:p>
      <w:pPr>
        <w:spacing w:after="120"/>
      </w:pPr>
      <w:r>
        <w:rPr>
          <w:b/>
          <w:color w:val="1F4E79"/>
        </w:rPr>
        <w:t xml:space="preserve">Aplicación a BTC / Oro / Índices: </w:t>
      </w:r>
      <w:r>
        <w:rPr>
          <w:i w:val="0"/>
        </w:rPr>
        <w:t>Bitcoin — sí (el trend following es el método probado de managed futures en crypto). Oro — sí. Índices — sí. (Él no operó crypto: es transferibilidad metodológica.)</w:t>
      </w:r>
    </w:p>
    <w:p>
      <w:pPr>
        <w:spacing w:after="120"/>
      </w:pPr>
      <w:r>
        <w:rPr>
          <w:b/>
          <w:color w:val="1F4E79"/>
        </w:rPr>
        <w:t xml:space="preserve">Rentabilidad (honestidad): </w:t>
      </w:r>
      <w:r>
        <w:rPr>
          <w:i/>
        </w:rPr>
        <w:t>Cifra legendaria de Market Wizards (no auditada) + revisión de registros 1990–2000 por Rollinger (~60%/año, publicada en Futures Magazine, no auditoría de fondo regulado).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Larry Williams — Volatility Breakout</w:t>
      </w:r>
    </w:p>
    <w:p>
      <w:pPr>
        <w:spacing w:after="120"/>
      </w:pPr>
      <w:r>
        <w:rPr>
          <w:b/>
          <w:color w:val="1F4E79"/>
        </w:rPr>
        <w:t xml:space="preserve">Esencia del trader: </w:t>
      </w:r>
      <w:r>
        <w:rPr>
          <w:i w:val="0"/>
        </w:rPr>
        <w:t>Ganó el World Cup Championship of Futures Trading de 1987 con +11.376% (10.000 USD → ~1,13 M USD), récord del torneo. Su método es mecánico y de los más fáciles de programar. Advertencia ética: el resultado de concurso “never confirmed by bank statements” y la NFA confirmó que en Q1-1987 sus cuentas de clientes perdieron ~6,1 M USD mientras su cuenta personal ganaba. El MÉTODO es real y rentable en backtests independientes; el personaje tiene mancha.</w:t>
      </w:r>
    </w:p>
    <w:p>
      <w:pPr>
        <w:spacing w:after="120"/>
      </w:pPr>
      <w:r>
        <w:rPr>
          <w:b/>
          <w:color w:val="1F4E79"/>
        </w:rPr>
        <w:t xml:space="preserve">Estrategia: </w:t>
      </w:r>
      <w:r>
        <w:rPr>
          <w:i w:val="0"/>
        </w:rPr>
        <w:t>Trader de futuros mecánico de corto plazo/swing. Cuatro pilares: ruptura de volatilidad, lectura del Commitment of Traders (COT), estacionalidad/ciclos y money management agresivo (optimal f de Ralph Vince).</w:t>
      </w:r>
    </w:p>
    <w:p>
      <w:pPr>
        <w:spacing w:after="40"/>
      </w:pPr>
      <w:r>
        <w:rPr>
          <w:b/>
          <w:i w:val="0"/>
          <w:color w:val="1F4E79"/>
        </w:rPr>
        <w:t>Reglas operativas (codificables)</w:t>
      </w:r>
    </w:p>
    <w:p>
      <w:pPr>
        <w:pStyle w:val="ListBullet"/>
        <w:spacing w:after="60"/>
      </w:pPr>
      <w:r>
        <w:t>**Entrada (fórmula): buy-stop = Apertura_hoy + K × (Máx_ayer − Mín_ayer), con K ≈ 0.25–0.6; venta en corto en el nivel simétrico hacia abajo.</w:t>
      </w:r>
    </w:p>
    <w:p>
      <w:pPr>
        <w:pStyle w:val="ListBullet"/>
        <w:spacing w:after="60"/>
      </w:pPr>
      <w:r>
        <w:t>**Filtro de contexto: alinear con el posicionamiento COT (smart money comercial) y la ventana estacional favorable. (En Bitcoin: OMITIR el COT, no aplica bien.)</w:t>
      </w:r>
    </w:p>
    <w:p>
      <w:pPr>
        <w:pStyle w:val="ListBullet"/>
        <w:spacing w:after="60"/>
      </w:pPr>
      <w:r>
        <w:t>**Stop: monetario fijo por contrato o en el punto medio entre el mínimo previo y la entrada; siempre definido por adelantado.</w:t>
      </w:r>
    </w:p>
    <w:p>
      <w:pPr>
        <w:pStyle w:val="ListBullet"/>
        <w:spacing w:after="60"/>
      </w:pPr>
      <w:r>
        <w:t>**Salida “bailout”: cerrar en la primera apertura en que la posición esté en ganancia; si pierde, mantener con el stop hasta la siguiente apertura.</w:t>
      </w:r>
    </w:p>
    <w:p>
      <w:pPr>
        <w:pStyle w:val="ListBullet"/>
        <w:spacing w:after="60"/>
      </w:pPr>
      <w:r>
        <w:t>**Sizing (fórmula): contratos = (% de riesgo × capital) / mayor pérdida histórica del sistema.</w:t>
      </w:r>
    </w:p>
    <w:p>
      <w:pPr>
        <w:spacing w:after="120"/>
      </w:pPr>
      <w:r>
        <w:rPr>
          <w:b/>
          <w:color w:val="1F4E79"/>
        </w:rPr>
        <w:t xml:space="preserve">Aplicación a BTC / Oro / Índices: </w:t>
      </w:r>
      <w:r>
        <w:rPr>
          <w:i w:val="0"/>
        </w:rPr>
        <w:t>Índices — ideal (backtest independiente: S&amp;P largos 80% win, profit factor 6.94). Oro — sí (mejor en largos). Bitcoin — con ajuste (aplica sin COT; evidencia más débil).</w:t>
      </w:r>
    </w:p>
    <w:p>
      <w:pPr>
        <w:spacing w:after="120"/>
      </w:pPr>
      <w:r>
        <w:rPr>
          <w:b/>
          <w:color w:val="1F4E79"/>
        </w:rPr>
        <w:t xml:space="preserve">Rentabilidad (honestidad): </w:t>
      </w:r>
      <w:r>
        <w:rPr>
          <w:i/>
        </w:rPr>
        <w:t>Campeonato 1987 registrado por el torneo pero no auditado por extractos bancarios. El método sí valida en backtests independientes (fuerte en índices, moderado en oro).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Peter Brandt — Charting Clásico</w:t>
      </w:r>
    </w:p>
    <w:p>
      <w:pPr>
        <w:spacing w:after="120"/>
      </w:pPr>
      <w:r>
        <w:rPr>
          <w:b/>
          <w:color w:val="1F4E79"/>
        </w:rPr>
        <w:t xml:space="preserve">Esencia del trader: </w:t>
      </w:r>
      <w:r>
        <w:rPr>
          <w:i w:val="0"/>
        </w:rPr>
        <w:t>Más de 45 años operando (ContiCommodity 1976; fundó Factor Trading en 1980, con clientes como Commodities Corp). El chartista clásico más respetado y el más “BTC-native” (cartea Bitcoin públicamente; clavó el crash de 2018). Esencia: los gráficos no predicen el precio, solo definen el RIESGO; el edge no es elegir el trade sino gestionar el riesgo. Advertencia: su retorno ~41,6%/año lo presentó como “auditado” y luego lo retractó a “attestation”.</w:t>
      </w:r>
    </w:p>
    <w:p>
      <w:pPr>
        <w:spacing w:after="120"/>
      </w:pPr>
      <w:r>
        <w:rPr>
          <w:b/>
          <w:color w:val="1F4E79"/>
        </w:rPr>
        <w:t xml:space="preserve">Estrategia: </w:t>
      </w:r>
      <w:r>
        <w:rPr>
          <w:i w:val="0"/>
        </w:rPr>
        <w:t>Charting clásico (escuela Edwards &amp; Magee / Wyckoff) sobre gráficos diarios y semanales. Opera la ruptura confirmada de patrones estructurales: hombro-cabeza-hombro, triángulos, rectángulos, cuñas, banderas y canales. Win rate ~30–40% compensado con asimetría ≥ 3:1.</w:t>
      </w:r>
    </w:p>
    <w:p>
      <w:pPr>
        <w:spacing w:after="40"/>
      </w:pPr>
      <w:r>
        <w:rPr>
          <w:b/>
          <w:i w:val="0"/>
          <w:color w:val="1F4E79"/>
        </w:rPr>
        <w:t>Reglas operativas (codificables)</w:t>
      </w:r>
    </w:p>
    <w:p>
      <w:pPr>
        <w:pStyle w:val="ListBullet"/>
        <w:spacing w:after="60"/>
      </w:pPr>
      <w:r>
        <w:t>**Entrada: solo en ruptura CONFIRMADA (cierre más allá del nivel, idealmente con volumen ~2x el promedio). No anticipar el breakout.</w:t>
      </w:r>
    </w:p>
    <w:p>
      <w:pPr>
        <w:pStyle w:val="ListBullet"/>
        <w:spacing w:after="60"/>
      </w:pPr>
      <w:r>
        <w:t>**Stop: SIEMPRE como orden real en el broker (nunca mental), justo del otro lado de la frontera del patrón donde la tesis queda invalidada.</w:t>
      </w:r>
    </w:p>
    <w:p>
      <w:pPr>
        <w:pStyle w:val="ListBullet"/>
        <w:spacing w:after="60"/>
      </w:pPr>
      <w:r>
        <w:t>**Riesgo: 1% (máx 2%) por operación; tamaño = (capital × %riesgo) / (distancia entrada-stop), ajustado por ATR y multiplicador de contrato.</w:t>
      </w:r>
    </w:p>
    <w:p>
      <w:pPr>
        <w:pStyle w:val="ListBullet"/>
        <w:spacing w:after="60"/>
      </w:pPr>
      <w:r>
        <w:t>**Relación riesgo/beneficio: descartar setups con menos de ~3:1.</w:t>
      </w:r>
    </w:p>
    <w:p>
      <w:pPr>
        <w:pStyle w:val="ListBullet"/>
        <w:spacing w:after="60"/>
      </w:pPr>
      <w:r>
        <w:t>**Objetivos/salidas: “measured move” (proyectar la altura del patrón desde la ruptura) + trailing bajo mínimos/máximos estructurales.</w:t>
      </w:r>
    </w:p>
    <w:p>
      <w:pPr>
        <w:pStyle w:val="ListBullet"/>
        <w:spacing w:after="60"/>
      </w:pPr>
      <w:r>
        <w:t>**Disciplina: cortar perdedores al instante; asumir que ~60% de los trades serán scratch o pérdida pequeña.</w:t>
      </w:r>
    </w:p>
    <w:p>
      <w:pPr>
        <w:spacing w:after="120"/>
      </w:pPr>
      <w:r>
        <w:rPr>
          <w:b/>
          <w:color w:val="1F4E79"/>
        </w:rPr>
        <w:t xml:space="preserve">Aplicación a BTC / Oro / Índices: </w:t>
      </w:r>
      <w:r>
        <w:rPr>
          <w:i w:val="0"/>
        </w:rPr>
        <w:t>Bitcoin — ideal (referente público). Oro — ideal. Índices — sí. Asset-agnostic real: la misma geometría en cualquier mercado líquido.</w:t>
      </w:r>
    </w:p>
    <w:p>
      <w:pPr>
        <w:spacing w:after="120"/>
      </w:pPr>
      <w:r>
        <w:rPr>
          <w:b/>
          <w:color w:val="1F4E79"/>
        </w:rPr>
        <w:t xml:space="preserve">Rentabilidad (honestidad): </w:t>
      </w:r>
      <w:r>
        <w:rPr>
          <w:i/>
        </w:rPr>
        <w:t>Carrera, clientes y libros plenamente verificables. Retornos autoreportados con “attestation” (no auditoría continua); sus CALLS públicos sí son verificables.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Paul Tudor Jones — Macro / Filtro de la Media de 200 días</w:t>
      </w:r>
    </w:p>
    <w:p>
      <w:pPr>
        <w:spacing w:after="120"/>
      </w:pPr>
      <w:r>
        <w:rPr>
          <w:b/>
          <w:color w:val="1F4E79"/>
        </w:rPr>
        <w:t xml:space="preserve">Esencia del trader: </w:t>
      </w:r>
      <w:r>
        <w:rPr>
          <w:i w:val="0"/>
        </w:rPr>
        <w:t>Leyenda del global macro. Su fondo retornó ~125,9% en el crash de 1987 (Black Monday); ~19–20% anual durante décadas. Pro-Bitcoin desde 2020: recomienda explícitamente una cartera de BTC + oro + acciones contra la inflación y el debasement monetario. Es discrecional, pero deja reglas universales muy potentes y mecanizables. Esencia: el precio y la tendencia mandan; juega ofensiva o defensa según el régimen.</w:t>
      </w:r>
    </w:p>
    <w:p>
      <w:pPr>
        <w:spacing w:after="120"/>
      </w:pPr>
      <w:r>
        <w:rPr>
          <w:b/>
          <w:color w:val="1F4E79"/>
        </w:rPr>
        <w:t xml:space="preserve">Estrategia: </w:t>
      </w:r>
      <w:r>
        <w:rPr>
          <w:i w:val="0"/>
        </w:rPr>
        <w:t>Macro top-down (Fed, liquidez, inflación, geopolítica) para decidir dirección + análisis técnico para el timing. Métrica universal de tendencia: la media móvil de 200 días.</w:t>
      </w:r>
    </w:p>
    <w:p>
      <w:pPr>
        <w:spacing w:after="40"/>
      </w:pPr>
      <w:r>
        <w:rPr>
          <w:b/>
          <w:i w:val="0"/>
          <w:color w:val="1F4E79"/>
        </w:rPr>
        <w:t>Reglas operativas (codificables)</w:t>
      </w:r>
    </w:p>
    <w:p>
      <w:pPr>
        <w:pStyle w:val="ListBullet"/>
        <w:spacing w:after="60"/>
      </w:pPr>
      <w:r>
        <w:t>**Filtro maestro: precio por encima de la MA(200) en cierres = ofensiva/largo; por debajo = defensa/fuera. Aplica idéntico a BTC, oro e índices.</w:t>
      </w:r>
    </w:p>
    <w:p>
      <w:pPr>
        <w:pStyle w:val="ListBullet"/>
        <w:spacing w:after="60"/>
      </w:pPr>
      <w:r>
        <w:t>**Riesgo: máximo ~1% del capital por operación.</w:t>
      </w:r>
    </w:p>
    <w:p>
      <w:pPr>
        <w:pStyle w:val="ListBullet"/>
        <w:spacing w:after="60"/>
      </w:pPr>
      <w:r>
        <w:t>**Relación riesgo/beneficio mínima 5:1 (permite acertar solo ~20% y seguir siendo rentable).</w:t>
      </w:r>
    </w:p>
    <w:p>
      <w:pPr>
        <w:pStyle w:val="ListBullet"/>
        <w:spacing w:after="60"/>
      </w:pPr>
      <w:r>
        <w:t>**“Asumo que cada posición que tengo está equivocada”: revisión diaria, cortar rápido, no promediar perdedores, dejar correr ganadores.</w:t>
      </w:r>
    </w:p>
    <w:p>
      <w:pPr>
        <w:pStyle w:val="ListBullet"/>
        <w:spacing w:after="60"/>
      </w:pPr>
      <w:r>
        <w:t>**Construcción de cartera: combinar BTC + oro + acciones/índices con tamaño ajustado por volatilidad (posición de BTC menor que la de oro).</w:t>
      </w:r>
    </w:p>
    <w:p>
      <w:pPr>
        <w:spacing w:after="120"/>
      </w:pPr>
      <w:r>
        <w:rPr>
          <w:b/>
          <w:color w:val="1F4E79"/>
        </w:rPr>
        <w:t xml:space="preserve">Aplicación a BTC / Oro / Índices: </w:t>
      </w:r>
      <w:r>
        <w:rPr>
          <w:i w:val="0"/>
        </w:rPr>
        <w:t>Bitcoin — sí. Oro — sí. Índices — sí. Su marco es explícitamente multi-activo. Recomendado como FILTRO macro común para todos los agentes.</w:t>
      </w:r>
    </w:p>
    <w:p>
      <w:pPr>
        <w:spacing w:after="120"/>
      </w:pPr>
      <w:r>
        <w:rPr>
          <w:b/>
          <w:color w:val="1F4E79"/>
        </w:rPr>
        <w:t xml:space="preserve">Rentabilidad (honestidad): </w:t>
      </w:r>
      <w:r>
        <w:rPr>
          <w:i/>
        </w:rPr>
        <w:t>Rentabilidad real y mediaticamente verificada 40+ años, pero no auditada trade por trade. Rendimiento decayó después de 2010.</w:t>
      </w:r>
    </w:p>
    <w:p>
      <w:r>
        <w:br w:type="page"/>
      </w:r>
    </w:p>
    <w:p>
      <w:pPr>
        <w:pStyle w:val="Heading1"/>
      </w:pPr>
      <w:r>
        <w:rPr>
          <w:color w:val="1F4E79"/>
        </w:rPr>
        <w:t>Apéndice — Capa común de gestión de riesgo (para todos los agentes)</w:t>
      </w:r>
    </w:p>
    <w:p>
      <w:pPr>
        <w:spacing w:after="120"/>
      </w:pPr>
      <w:r>
        <w:rPr>
          <w:b w:val="0"/>
          <w:i w:val="0"/>
        </w:rPr>
        <w:t>Reglas transversales que conviene compartir entre los 6 agentes, independientemente de su estrategia individual:</w:t>
      </w:r>
    </w:p>
    <w:p>
      <w:pPr>
        <w:pStyle w:val="ListBullet"/>
        <w:spacing w:after="60"/>
      </w:pPr>
      <w:r>
        <w:t>**Riesgo fijo por trade: 0.25–1% del capital (máx 2%). Ninguna pérdida individual debe amenazar la cuenta.</w:t>
      </w:r>
    </w:p>
    <w:p>
      <w:pPr>
        <w:pStyle w:val="ListBullet"/>
        <w:spacing w:after="60"/>
      </w:pPr>
      <w:r>
        <w:t>**Sizing por volatilidad: tamaño = (capital × %riesgo) / (distancia al stop medida en ATR/ADR). En Bitcoin, posición menor que en oro/índices por su mayor volatilidad.</w:t>
      </w:r>
    </w:p>
    <w:p>
      <w:pPr>
        <w:pStyle w:val="ListBullet"/>
        <w:spacing w:after="60"/>
      </w:pPr>
      <w:r>
        <w:t>**Filtro de régimen: usar la MA(200) (estilo PTJ) para decidir ofensiva (largo) o defensa (fuera) en cada activo.</w:t>
      </w:r>
    </w:p>
    <w:p>
      <w:pPr>
        <w:pStyle w:val="ListBullet"/>
        <w:spacing w:after="60"/>
      </w:pPr>
      <w:r>
        <w:t>**Asimetría: buscar R:R ≥ 3:1; aceptar win rate bajo. La rentabilidad viene del tamaño de los ganadores, no de la frecuencia de acierto.</w:t>
      </w:r>
    </w:p>
    <w:p>
      <w:pPr>
        <w:pStyle w:val="ListBullet"/>
        <w:spacing w:after="60"/>
      </w:pPr>
      <w:r>
        <w:t>**Stops reales, nunca mentales: cortar perdedores de inmediato; dejar correr ganadores con trailing stop.</w:t>
      </w:r>
    </w:p>
    <w:p>
      <w:pPr>
        <w:pStyle w:val="ListBullet"/>
        <w:spacing w:after="60"/>
      </w:pPr>
      <w:r>
        <w:t>**Diversificación de setups: combinar estrategias poco correlacionadas (breakout, reversión, tendencia) para suavizar la curva de capital del comité de agentes.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color w:val="B8860B"/>
        </w:rPr>
        <w:t>Mapa estrategia → agente (sugerido)</w:t>
      </w:r>
    </w:p>
    <w:p>
      <w:pPr>
        <w:pStyle w:val="ListBullet"/>
        <w:spacing w:after="60"/>
      </w:pPr>
      <w:r>
        <w:t>Captura de tendencias largas: Ed Seykota (BTC y oro brillan en movimientos sostenidos).</w:t>
      </w:r>
    </w:p>
    <w:p>
      <w:pPr>
        <w:pStyle w:val="ListBullet"/>
        <w:spacing w:after="60"/>
      </w:pPr>
      <w:r>
        <w:t>Rupturas de momentum: Qullamaggie (líderes que explotan tras consolidar).</w:t>
      </w:r>
    </w:p>
    <w:p>
      <w:pPr>
        <w:pStyle w:val="ListBullet"/>
        <w:spacing w:after="60"/>
      </w:pPr>
      <w:r>
        <w:t>Reversiones / rango: Linda Raschke (Turtle Soup en falsas rupturas).</w:t>
      </w:r>
    </w:p>
    <w:p>
      <w:pPr>
        <w:pStyle w:val="ListBullet"/>
        <w:spacing w:after="60"/>
      </w:pPr>
      <w:r>
        <w:t>Breakouts cortos mecánicos: Larry Williams (fórmula de volatilidad, fuerte en índices).</w:t>
      </w:r>
    </w:p>
    <w:p>
      <w:pPr>
        <w:pStyle w:val="ListBullet"/>
        <w:spacing w:after="60"/>
      </w:pPr>
      <w:r>
        <w:t>Estructura de mercado: Peter Brandt (patrones clásicos, referente en BTC y oro).</w:t>
      </w:r>
    </w:p>
    <w:p>
      <w:pPr>
        <w:pStyle w:val="ListBullet"/>
        <w:spacing w:after="60"/>
      </w:pPr>
      <w:r>
        <w:t>Filtro macro común: Paul Tudor Jones (MA 200 como semáforo de régimen).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