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w:rPr>
          <w:rFonts w:hint="eastAsia"/>
        </w:rPr>
        <w:t>经济下行与就业困难</w:t>
      </w:r>
    </w:p>
    <w:p>
      <w:pPr>
        <w:pStyle w:val="2"/>
      </w:pPr>
      <w:r>
        <w:rPr>
          <w:rFonts w:hint="eastAsia"/>
        </w:rPr>
        <w:t>全球的经济下行背景</w:t>
      </w:r>
    </w:p>
    <w:p>
      <w:pPr>
        <w:ind w:firstLine="420" w:firstLineChars="200"/>
        <w:rPr>
          <w:rFonts w:ascii="Times New Roman" w:hAnsi="Times New Roman" w:eastAsia="宋体" w:cs="Times New Roman"/>
          <w:lang w:val="en-US"/>
        </w:rPr>
      </w:pPr>
      <w:bookmarkStart w:id="0" w:name="OLE_LINK1"/>
      <w:r>
        <w:rPr>
          <w:rFonts w:ascii="Times New Roman" w:hAnsi="Times New Roman" w:eastAsia="宋体" w:cs="Times New Roman"/>
          <w:lang w:val="en-US"/>
        </w:rPr>
        <w:t>2018年3月，中美贸易摩擦发生，随后愈演愈烈，从“摩擦”走向“贸易战”。2019年，全球贸易量增速下降到1%上下，为2012年以来最低水平。与此同时，世界多国的制造业PMI开始下行，并跌破荣枯线。（PMI即采购经理指数，主要用来反映某一领域的经济变化趋势，是我们把握经济发展脉络的重要抓手。“50”为PMI这一指数的“荣枯线”，高于50说明当前该领域处于扩张状态，需求旺盛，利于资本家扩大再生产；低于50说明当前处于萧条状态，需求不足，过剩发生。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当前中国生产领域的四个主要特征：一是制造业产能过剩，出现小幅度通缩，投资减少，未来不景气；二是房地产超速发展，泡沫风险加剧；三是地方财政吃紧，债务负大压力大，需要注水帮扶；四是居于垄断地位的国企发展迅猛，私营企业发展意愿较低，国企主导经济发展方向</w:t>
      </w:r>
      <w:bookmarkEnd w:id="0"/>
      <w:r>
        <w:rPr>
          <w:rFonts w:ascii="Times New Roman" w:hAnsi="Times New Roman" w:eastAsia="宋体" w:cs="Times New Roman"/>
        </w:rPr>
        <w:t>。</w:t>
      </w:r>
    </w:p>
    <w:p>
      <w:pPr>
        <w:keepNext/>
        <w:ind w:firstLine="480" w:firstLineChars="200"/>
        <w:jc w:val="center"/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450590" cy="1609725"/>
            <wp:effectExtent l="0" t="0" r="381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图 </w:t>
      </w:r>
      <w:r>
        <w:rPr>
          <w:rFonts w:ascii="Times New Roman" w:hAnsi="Times New Roman" w:eastAsia="宋体" w:cs="Times New Roman"/>
        </w:rPr>
        <w:fldChar w:fldCharType="begin"/>
      </w:r>
      <w:r>
        <w:rPr>
          <w:rFonts w:ascii="Times New Roman" w:hAnsi="Times New Roman" w:eastAsia="宋体" w:cs="Times New Roman"/>
        </w:rPr>
        <w:instrText xml:space="preserve"> SEQ 图 \* ARABIC </w:instrText>
      </w:r>
      <w:r>
        <w:rPr>
          <w:rFonts w:ascii="Times New Roman" w:hAnsi="Times New Roman" w:eastAsia="宋体" w:cs="Times New Roman"/>
        </w:rPr>
        <w:fldChar w:fldCharType="separate"/>
      </w:r>
      <w:r>
        <w:rPr>
          <w:rFonts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fldChar w:fldCharType="end"/>
      </w:r>
      <w:r>
        <w:rPr>
          <w:rFonts w:ascii="Times New Roman" w:hAnsi="Times New Roman" w:eastAsia="宋体" w:cs="Times New Roman"/>
        </w:rPr>
        <w:t xml:space="preserve"> 美国制造业PMI</w:t>
      </w:r>
    </w:p>
    <w:p>
      <w:pPr>
        <w:keepNext/>
        <w:jc w:val="center"/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587750" cy="167767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7444" cy="168713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图 </w:t>
      </w:r>
      <w:r>
        <w:rPr>
          <w:rFonts w:ascii="Times New Roman" w:hAnsi="Times New Roman" w:eastAsia="宋体" w:cs="Times New Roman"/>
        </w:rPr>
        <w:fldChar w:fldCharType="begin"/>
      </w:r>
      <w:r>
        <w:rPr>
          <w:rFonts w:ascii="Times New Roman" w:hAnsi="Times New Roman" w:eastAsia="宋体" w:cs="Times New Roman"/>
        </w:rPr>
        <w:instrText xml:space="preserve"> SEQ 图 \* ARABIC </w:instrText>
      </w:r>
      <w:r>
        <w:rPr>
          <w:rFonts w:ascii="Times New Roman" w:hAnsi="Times New Roman" w:eastAsia="宋体" w:cs="Times New Roman"/>
        </w:rPr>
        <w:fldChar w:fldCharType="separate"/>
      </w:r>
      <w:r>
        <w:rPr>
          <w:rFonts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fldChar w:fldCharType="end"/>
      </w:r>
      <w:r>
        <w:rPr>
          <w:rFonts w:hint="eastAsia" w:ascii="Times New Roman" w:hAnsi="Times New Roman" w:eastAsia="宋体" w:cs="Times New Roman"/>
        </w:rPr>
        <w:t xml:space="preserve"> 德国制造业PMI</w:t>
      </w:r>
    </w:p>
    <w:p>
      <w:pPr>
        <w:keepNext/>
        <w:jc w:val="center"/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816350" cy="177927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895" cy="178767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图 </w:t>
      </w:r>
      <w:r>
        <w:rPr>
          <w:rFonts w:ascii="Times New Roman" w:hAnsi="Times New Roman" w:eastAsia="宋体" w:cs="Times New Roman"/>
        </w:rPr>
        <w:fldChar w:fldCharType="begin"/>
      </w:r>
      <w:r>
        <w:rPr>
          <w:rFonts w:ascii="Times New Roman" w:hAnsi="Times New Roman" w:eastAsia="宋体" w:cs="Times New Roman"/>
        </w:rPr>
        <w:instrText xml:space="preserve"> SEQ 图 \* ARABIC </w:instrText>
      </w:r>
      <w:r>
        <w:rPr>
          <w:rFonts w:ascii="Times New Roman" w:hAnsi="Times New Roman" w:eastAsia="宋体" w:cs="Times New Roman"/>
        </w:rPr>
        <w:fldChar w:fldCharType="separate"/>
      </w:r>
      <w:r>
        <w:rPr>
          <w:rFonts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fldChar w:fldCharType="end"/>
      </w:r>
      <w:r>
        <w:rPr>
          <w:rFonts w:hint="eastAsia" w:ascii="Times New Roman" w:hAnsi="Times New Roman" w:eastAsia="宋体" w:cs="Times New Roman"/>
        </w:rPr>
        <w:t xml:space="preserve"> 日本制造业PMI</w:t>
      </w:r>
    </w:p>
    <w:p>
      <w:pPr>
        <w:pStyle w:val="2"/>
      </w:pPr>
      <w:r>
        <w:rPr>
          <w:rFonts w:hint="eastAsia"/>
        </w:rPr>
        <w:t>中国与全球面临的就业难题</w:t>
      </w:r>
    </w:p>
    <w:p>
      <w:pPr>
        <w:pStyle w:val="3"/>
        <w:rPr>
          <w:rFonts w:hint="eastAsia"/>
        </w:rPr>
      </w:pPr>
      <w:r>
        <w:rPr>
          <w:rFonts w:hint="eastAsia"/>
        </w:rPr>
        <w:t>现状</w:t>
      </w:r>
    </w:p>
    <w:p>
      <w:pPr>
        <w:ind w:firstLine="420" w:firstLineChars="200"/>
        <w:rPr>
          <w:rFonts w:ascii="Times New Roman" w:hAnsi="Times New Roman" w:eastAsia="宋体" w:cs="Times New Roman"/>
          <w:highlight w:val="yellow"/>
          <w:lang w:val="en-US"/>
        </w:rPr>
      </w:pPr>
      <w:r>
        <w:rPr>
          <w:rFonts w:ascii="Times New Roman" w:hAnsi="Times New Roman" w:eastAsia="宋体" w:cs="Times New Roman"/>
          <w:highlight w:val="yellow"/>
          <w:lang w:val="en-US"/>
        </w:rPr>
        <w:t>据相关数据显示，2023 届高校毕业生规模预计 1158万人，同比增加 87万人。 今年2023届毕业生选择单位就业比例从去年的50.4%上升到57.6%，慢就业比例也从去年的15.9%上升到18.9%。与此同时，选择自由职业的比例从去年的18.6%下降到13.2%，选择国内继续学习的比例从去年的9.3%下降到4.9%。受“互联网大厂裁员”和“双减政策”等因素的影响，互联网与教育行业等高校毕业生就业岗位减少。</w:t>
      </w:r>
    </w:p>
    <w:p>
      <w:pPr>
        <w:ind w:firstLine="420" w:firstLineChars="200"/>
        <w:rPr>
          <w:rFonts w:hint="eastAsia" w:ascii="Times New Roman" w:hAnsi="Times New Roman" w:eastAsia="宋体" w:cs="Times New Roman"/>
          <w:highlight w:val="yellow"/>
          <w:lang w:val="en-US"/>
        </w:rPr>
      </w:pPr>
      <w:r>
        <w:rPr>
          <w:rFonts w:ascii="Times New Roman" w:hAnsi="Times New Roman" w:eastAsia="宋体" w:cs="Times New Roman"/>
          <w:highlight w:val="yellow"/>
          <w:lang w:val="en-US"/>
        </w:rPr>
        <w:t>国际劳工组织发布的《世界就业和社会展望：2023年趋势报告》。报告预计2023年全球就业仅增长1%，不到2022年水平的一半。全球就业增长疲软的同时，全球失业人数在2023年则将小幅上升至2.08亿，使全球失业率达到5.8%。</w:t>
      </w:r>
    </w:p>
    <w:p>
      <w:pPr>
        <w:ind w:firstLine="420" w:firstLineChars="200"/>
        <w:rPr>
          <w:rFonts w:ascii="Times New Roman" w:hAnsi="Times New Roman" w:eastAsia="宋体" w:cs="Times New Roman"/>
          <w:lang w:val="en-US"/>
        </w:rPr>
      </w:pPr>
      <w:r>
        <w:rPr>
          <w:rFonts w:ascii="Times New Roman" w:hAnsi="Times New Roman" w:eastAsia="宋体" w:cs="Times New Roman"/>
          <w:highlight w:val="yellow"/>
          <w:lang w:val="en-US"/>
        </w:rPr>
        <w:t>失业率=失业人口/（就业人口+失业人口），其中失业人口是指当前没有工作、最近一段时间寻找工作，并且能立即去工作的人。尼特率=失业人口比重+退出劳动力市场人口比重=（失业人口+退出劳动力市场人口）/青年总人口。</w:t>
      </w:r>
    </w:p>
    <w:p>
      <w:pPr>
        <w:keepNext/>
        <w:ind w:firstLine="480" w:firstLineChars="200"/>
        <w:jc w:val="center"/>
        <w:rPr>
          <w:highlight w:val="yellow"/>
        </w:rPr>
      </w:pPr>
      <w:r>
        <w:rPr>
          <w:rFonts w:ascii="宋体" w:hAnsi="宋体" w:eastAsia="宋体" w:cs="宋体"/>
          <w:sz w:val="24"/>
          <w:highlight w:val="yellow"/>
        </w:rPr>
        <w:drawing>
          <wp:inline distT="0" distB="0" distL="114300" distR="114300">
            <wp:extent cx="3720465" cy="2187575"/>
            <wp:effectExtent l="0" t="0" r="63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218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ascii="Times New Roman" w:hAnsi="Times New Roman" w:eastAsia="宋体" w:cs="Times New Roman"/>
          <w:highlight w:val="yellow"/>
        </w:rPr>
      </w:pPr>
      <w:r>
        <w:rPr>
          <w:rFonts w:ascii="Times New Roman" w:hAnsi="Times New Roman" w:eastAsia="宋体" w:cs="Times New Roman"/>
          <w:highlight w:val="yellow"/>
        </w:rPr>
        <w:t xml:space="preserve">图 </w:t>
      </w:r>
      <w:r>
        <w:rPr>
          <w:rFonts w:ascii="Times New Roman" w:hAnsi="Times New Roman" w:eastAsia="宋体" w:cs="Times New Roman"/>
          <w:highlight w:val="yellow"/>
        </w:rPr>
        <w:fldChar w:fldCharType="begin"/>
      </w:r>
      <w:r>
        <w:rPr>
          <w:rFonts w:ascii="Times New Roman" w:hAnsi="Times New Roman" w:eastAsia="宋体" w:cs="Times New Roman"/>
          <w:highlight w:val="yellow"/>
        </w:rPr>
        <w:instrText xml:space="preserve"> SEQ 图 \* ARABIC </w:instrText>
      </w:r>
      <w:r>
        <w:rPr>
          <w:rFonts w:ascii="Times New Roman" w:hAnsi="Times New Roman" w:eastAsia="宋体" w:cs="Times New Roman"/>
          <w:highlight w:val="yellow"/>
        </w:rPr>
        <w:fldChar w:fldCharType="separate"/>
      </w:r>
      <w:r>
        <w:rPr>
          <w:rFonts w:ascii="Times New Roman" w:hAnsi="Times New Roman" w:eastAsia="宋体" w:cs="Times New Roman"/>
          <w:highlight w:val="yellow"/>
        </w:rPr>
        <w:t>4</w:t>
      </w:r>
      <w:r>
        <w:rPr>
          <w:rFonts w:ascii="Times New Roman" w:hAnsi="Times New Roman" w:eastAsia="宋体" w:cs="Times New Roman"/>
          <w:highlight w:val="yellow"/>
        </w:rPr>
        <w:fldChar w:fldCharType="end"/>
      </w:r>
      <w:r>
        <w:rPr>
          <w:rFonts w:hint="eastAsia" w:ascii="Times New Roman" w:hAnsi="Times New Roman" w:eastAsia="宋体" w:cs="Times New Roman"/>
          <w:highlight w:val="yellow"/>
        </w:rPr>
        <w:t xml:space="preserve"> 不同类型国家的四类青年人口比重</w:t>
      </w:r>
    </w:p>
    <w:p>
      <w:pPr>
        <w:pStyle w:val="3"/>
        <w:rPr>
          <w:highlight w:val="yellow"/>
          <w:lang w:val="en-US"/>
        </w:rPr>
      </w:pPr>
      <w:r>
        <w:rPr>
          <w:rFonts w:hint="eastAsia"/>
          <w:highlight w:val="yellow"/>
          <w:lang w:val="en-US"/>
        </w:rPr>
        <w:t>原因</w:t>
      </w:r>
    </w:p>
    <w:p>
      <w:pPr>
        <w:ind w:firstLine="420" w:firstLineChars="200"/>
        <w:rPr>
          <w:rFonts w:ascii="Times New Roman" w:hAnsi="Times New Roman" w:eastAsia="宋体" w:cs="Times New Roman"/>
          <w:highlight w:val="yellow"/>
          <w:lang w:val="en-US"/>
        </w:rPr>
      </w:pPr>
      <w:r>
        <w:rPr>
          <w:rFonts w:ascii="Times New Roman" w:hAnsi="Times New Roman" w:eastAsia="宋体" w:cs="Times New Roman"/>
          <w:highlight w:val="yellow"/>
          <w:lang w:val="en-US"/>
        </w:rPr>
        <w:t>供需不平衡，就业压力较大。疫情期间，相当一部分企业面临破产压力，在全球经济衰退的大环境下，小微企业的负债压力尤为突出，企业不得不裁员进行节流，企业端的吸纳率降低，加剧了高校毕业生的竞争压力。2023年高校毕业生依旧突破千万大关，高校毕业生人数逐年增多，在如此激烈的竞争下，相当一部分毕业生选择降低薪资期望，或者选择非对口专业的工作，这样的情况也进一步增加了就业市场的竞争。</w:t>
      </w:r>
    </w:p>
    <w:p>
      <w:pPr>
        <w:ind w:firstLine="420" w:firstLineChars="200"/>
        <w:rPr>
          <w:rFonts w:ascii="Times New Roman" w:hAnsi="Times New Roman" w:eastAsia="宋体" w:cs="Times New Roman"/>
          <w:highlight w:val="yellow"/>
          <w:lang w:val="en-US"/>
        </w:rPr>
      </w:pPr>
      <w:r>
        <w:rPr>
          <w:rFonts w:ascii="Times New Roman" w:hAnsi="Times New Roman" w:eastAsia="宋体" w:cs="Times New Roman"/>
          <w:highlight w:val="yellow"/>
          <w:lang w:val="en-US"/>
        </w:rPr>
        <w:t>供求信息不畅，给用人单位与求职者带来困扰。据调查显示，在被问及是否了解政府就业激励措施与政策，近六成以上的大学生表示不了解或不太了解。同时，也存在用人单位有大量的招聘缺口，但缺乏高效的宣传平台和招聘渠道，小微型企业与高校对接困难。大学生就业渠道大多为市场上的招聘软件与学校组织的招聘会。</w:t>
      </w:r>
    </w:p>
    <w:p>
      <w:pPr>
        <w:ind w:firstLine="420" w:firstLineChars="200"/>
        <w:rPr>
          <w:rFonts w:ascii="Times New Roman" w:hAnsi="Times New Roman" w:eastAsia="宋体" w:cs="Times New Roman"/>
          <w:lang w:val="en-US"/>
        </w:rPr>
      </w:pPr>
      <w:r>
        <w:rPr>
          <w:rFonts w:ascii="Times New Roman" w:hAnsi="Times New Roman" w:eastAsia="宋体" w:cs="Times New Roman"/>
          <w:highlight w:val="yellow"/>
          <w:lang w:val="en-US"/>
        </w:rPr>
        <w:t>就业市场竞争激烈，企业青睐性价比更高的有经验者。由于全球疫情及经济下滑的影响，不少国外就业者、留学生以及公司裁员减员后的失业者涌入市场。为了得到一份工作，许多求职者开始向下求职，有出国工作经验的向国有企业求职，有大厂工作经验的向中小型企业求职，甚至有多年工作经验的放弃原行业转入新兴产业。在如此激烈的竞争压力下，高校毕业生的就业雪上加霜</w:t>
      </w:r>
    </w:p>
    <w:p>
      <w:pPr>
        <w:pStyle w:val="3"/>
        <w:rPr>
          <w:highlight w:val="yellow"/>
          <w:lang w:val="en-US"/>
        </w:rPr>
      </w:pPr>
      <w:r>
        <w:rPr>
          <w:rFonts w:hint="eastAsia"/>
          <w:highlight w:val="yellow"/>
          <w:lang w:val="en-US"/>
        </w:rPr>
        <w:t>可行举措</w:t>
      </w:r>
    </w:p>
    <w:p>
      <w:pPr>
        <w:ind w:firstLine="422" w:firstLineChars="200"/>
        <w:rPr>
          <w:rFonts w:ascii="Times New Roman" w:hAnsi="Times New Roman" w:eastAsia="宋体" w:cs="Times New Roman"/>
          <w:b/>
          <w:bCs/>
          <w:highlight w:val="yellow"/>
          <w:lang w:val="en-US"/>
        </w:rPr>
      </w:pPr>
      <w:r>
        <w:rPr>
          <w:rFonts w:ascii="Times New Roman" w:hAnsi="Times New Roman" w:eastAsia="宋体" w:cs="Times New Roman"/>
          <w:b/>
          <w:bCs/>
          <w:highlight w:val="yellow"/>
          <w:lang w:val="en-US"/>
        </w:rPr>
        <w:t>就业供需不平衡，需要从两端同时发力。</w:t>
      </w:r>
    </w:p>
    <w:p>
      <w:pPr>
        <w:ind w:firstLine="420" w:firstLineChars="200"/>
        <w:rPr>
          <w:rFonts w:ascii="Times New Roman" w:hAnsi="Times New Roman" w:eastAsia="宋体" w:cs="Times New Roman"/>
          <w:highlight w:val="yellow"/>
          <w:lang w:val="en-US"/>
        </w:rPr>
      </w:pPr>
      <w:r>
        <w:rPr>
          <w:rFonts w:ascii="Times New Roman" w:hAnsi="Times New Roman" w:eastAsia="宋体" w:cs="Times New Roman"/>
          <w:highlight w:val="yellow"/>
          <w:lang w:val="en-US"/>
        </w:rPr>
        <w:t>一是加快企业转型，开拓科技型新型岗位，进一步扩大就业市场的人才吸引力。</w:t>
      </w:r>
    </w:p>
    <w:p>
      <w:pPr>
        <w:ind w:firstLine="420" w:firstLineChars="200"/>
        <w:rPr>
          <w:rFonts w:ascii="Times New Roman" w:hAnsi="Times New Roman" w:eastAsia="宋体" w:cs="Times New Roman"/>
          <w:highlight w:val="yellow"/>
          <w:lang w:val="en-US"/>
        </w:rPr>
      </w:pPr>
      <w:r>
        <w:rPr>
          <w:rFonts w:ascii="Times New Roman" w:hAnsi="Times New Roman" w:eastAsia="宋体" w:cs="Times New Roman"/>
          <w:highlight w:val="yellow"/>
          <w:lang w:val="en-US"/>
        </w:rPr>
        <w:t>二是加大对高校毕业生创业的扶持力度。鼓励大学生回乡创业，启迪青年用创业代替就业，开发出新的就业岗位。</w:t>
      </w:r>
    </w:p>
    <w:p>
      <w:pPr>
        <w:ind w:firstLine="420" w:firstLineChars="200"/>
        <w:rPr>
          <w:rFonts w:ascii="Times New Roman" w:hAnsi="Times New Roman" w:eastAsia="宋体" w:cs="Times New Roman"/>
          <w:highlight w:val="yellow"/>
          <w:lang w:val="en-US"/>
        </w:rPr>
      </w:pPr>
      <w:r>
        <w:rPr>
          <w:rFonts w:ascii="Times New Roman" w:hAnsi="Times New Roman" w:eastAsia="宋体" w:cs="Times New Roman"/>
          <w:highlight w:val="yellow"/>
          <w:lang w:val="en-US"/>
        </w:rPr>
        <w:t>三是鼓励大学生去往西部开发，让自身发展与国家发展同向而行，避免扎堆就业。西部开发人才缺口依然巨大，政府要提高支援西部人员的薪资水平，只有有竞争力的薪资，才能吸引和留得住人才。</w:t>
      </w:r>
    </w:p>
    <w:p>
      <w:pPr>
        <w:ind w:firstLine="422" w:firstLineChars="200"/>
        <w:rPr>
          <w:rFonts w:ascii="Times New Roman" w:hAnsi="Times New Roman" w:eastAsia="宋体" w:cs="Times New Roman"/>
          <w:highlight w:val="yellow"/>
          <w:lang w:val="en-US"/>
        </w:rPr>
      </w:pPr>
      <w:r>
        <w:rPr>
          <w:rFonts w:ascii="Times New Roman" w:hAnsi="Times New Roman" w:eastAsia="宋体" w:cs="Times New Roman"/>
          <w:b/>
          <w:bCs/>
          <w:highlight w:val="yellow"/>
          <w:lang w:val="en-US"/>
        </w:rPr>
        <w:t>毕业生选择慢就业</w:t>
      </w:r>
      <w:r>
        <w:rPr>
          <w:rFonts w:ascii="Times New Roman" w:hAnsi="Times New Roman" w:eastAsia="宋体" w:cs="Times New Roman"/>
          <w:highlight w:val="yellow"/>
          <w:lang w:val="en-US"/>
        </w:rPr>
        <w:t>，家长和高校应当做好毕业生的思想工作，鼓励他们通过兼职或者实习来参与社会实践，一边备考，一边积累工作经验，这样也能缓解毕业生对就业的焦虑。人力资源部门与学校就业部应当及时掌握这部分学生情况，必要时进行电话沟通，举办线上交流会。</w:t>
      </w:r>
    </w:p>
    <w:p>
      <w:pPr>
        <w:ind w:firstLine="422" w:firstLineChars="200"/>
        <w:rPr>
          <w:rFonts w:ascii="Times New Roman" w:hAnsi="Times New Roman" w:eastAsia="宋体" w:cs="Times New Roman"/>
          <w:highlight w:val="yellow"/>
          <w:lang w:val="en-US"/>
        </w:rPr>
      </w:pPr>
      <w:r>
        <w:rPr>
          <w:rFonts w:ascii="Times New Roman" w:hAnsi="Times New Roman" w:eastAsia="宋体" w:cs="Times New Roman"/>
          <w:b/>
          <w:bCs/>
          <w:highlight w:val="yellow"/>
          <w:lang w:val="en-US"/>
        </w:rPr>
        <w:t>地方政府着重关注招聘渠道的畅通情况和就业政策的落实情况。</w:t>
      </w:r>
      <w:r>
        <w:rPr>
          <w:rFonts w:ascii="Times New Roman" w:hAnsi="Times New Roman" w:eastAsia="宋体" w:cs="Times New Roman"/>
          <w:highlight w:val="yellow"/>
          <w:lang w:val="en-US"/>
        </w:rPr>
        <w:t>招聘平台存在招聘信息更新不及时的情况，许多已经招满的岗位依然在平台上显示，导致学生投递效率低下。政府和平台要督促企业及时更新数据，确保招聘数据真实有效。一些地方政府的就业平台知名度不高，很多学生甚至不知道有政府就业平台。特别是在就业季，人力资源部门应当组织人员下到高校，宣传政府就业平台信息的同时，及时掌握一线学生的就业情况，及时对就业政策做出调整。同时，帮助本地小微企业搭建平台，让小微企业也能参与到高校的招聘会。许多高校有着自己的企业资源，但行业不断更新，传统的企业资源已经不能满足现在的就业需求，新兴的小微企业缺少高校招聘资源，政府应当发力构建中间平台，相比于大招聘平台信息复杂，地方招聘平台会有更高效的效率。</w:t>
      </w:r>
    </w:p>
    <w:p>
      <w:pPr>
        <w:ind w:firstLine="422" w:firstLineChars="200"/>
        <w:rPr>
          <w:rFonts w:ascii="Times New Roman" w:hAnsi="Times New Roman" w:eastAsia="宋体" w:cs="Times New Roman"/>
          <w:highlight w:val="yellow"/>
          <w:lang w:val="en-US"/>
        </w:rPr>
      </w:pPr>
      <w:r>
        <w:rPr>
          <w:rFonts w:ascii="Times New Roman" w:hAnsi="Times New Roman" w:eastAsia="宋体" w:cs="Times New Roman"/>
          <w:b/>
          <w:bCs/>
          <w:highlight w:val="yellow"/>
          <w:lang w:val="en-US"/>
        </w:rPr>
        <w:t>激烈竞争不应转变为内卷竞争，政府应当及时干预，避免造成人才浪费。</w:t>
      </w:r>
      <w:r>
        <w:rPr>
          <w:rFonts w:ascii="Times New Roman" w:hAnsi="Times New Roman" w:eastAsia="宋体" w:cs="Times New Roman"/>
          <w:highlight w:val="yellow"/>
          <w:lang w:val="en-US"/>
        </w:rPr>
        <w:t>政府可以推广灵活的劳动关系，如零工经济、平台经济、远程办公等，利用互联网时代的优势分担一二线城市的就业压力。加强教育和职业培训，使教育和培训更加适应就业市场需求，特别是加强失业者和劳动力转型人群的培训，让失业者升级和提高技能，把向下竞争扭转为向上竞争的良性竞争。</w:t>
      </w:r>
    </w:p>
    <w:p>
      <w:pPr>
        <w:pStyle w:val="3"/>
        <w:rPr>
          <w:highlight w:val="yellow"/>
          <w:lang w:val="en-US"/>
        </w:rPr>
      </w:pPr>
      <w:r>
        <w:rPr>
          <w:rFonts w:hint="eastAsia"/>
          <w:highlight w:val="yellow"/>
          <w:lang w:val="en-US"/>
        </w:rPr>
        <w:t>现有举措</w:t>
      </w:r>
    </w:p>
    <w:p>
      <w:pPr>
        <w:pStyle w:val="4"/>
        <w:rPr>
          <w:highlight w:val="yellow"/>
          <w:lang w:val="en-US"/>
        </w:rPr>
      </w:pPr>
      <w:r>
        <w:rPr>
          <w:highlight w:val="yellow"/>
          <w:lang w:val="en-US"/>
        </w:rPr>
        <w:t>中国政府应对就业严峻问题的解决方法</w:t>
      </w:r>
    </w:p>
    <w:p>
      <w:pPr>
        <w:ind w:firstLine="420" w:firstLineChars="200"/>
        <w:rPr>
          <w:rFonts w:ascii="Times New Roman" w:hAnsi="Times New Roman" w:eastAsia="宋体" w:cs="Times New Roman"/>
          <w:highlight w:val="yellow"/>
          <w:lang w:val="en-US"/>
        </w:rPr>
      </w:pPr>
      <w:r>
        <w:rPr>
          <w:rFonts w:ascii="Times New Roman" w:hAnsi="Times New Roman" w:eastAsia="宋体" w:cs="Times New Roman"/>
          <w:highlight w:val="yellow"/>
          <w:lang w:val="en-US"/>
        </w:rPr>
        <w:t>国务院总理李强在 2024年政府工作报告中指出，多措并举稳就业促增收。就业是最基本的民生。要突出就业优先导向，加强财税、金融等政策对稳就业的支持，加大促就业专项政策力度。落实和完善稳岗返还、专项贷款、就业和社保补贴等政策，加强对就业容量大的行业企业支持。</w:t>
      </w:r>
    </w:p>
    <w:p>
      <w:pPr>
        <w:ind w:firstLine="420" w:firstLineChars="200"/>
        <w:rPr>
          <w:rFonts w:ascii="Times New Roman" w:hAnsi="Times New Roman" w:eastAsia="宋体" w:cs="Times New Roman"/>
          <w:highlight w:val="yellow"/>
          <w:lang w:val="en-US"/>
        </w:rPr>
      </w:pPr>
      <w:r>
        <w:rPr>
          <w:rFonts w:ascii="Times New Roman" w:hAnsi="Times New Roman" w:eastAsia="宋体" w:cs="Times New Roman"/>
          <w:highlight w:val="yellow"/>
          <w:lang w:val="en-US"/>
        </w:rPr>
        <w:t>要强化促进青年就业政策举措，优化就业创业指导服务。扎实做好退役军人就业安置工作，积极促进农民工就业，加强对残疾人等就业困难人员帮扶。分类完善灵活就业服务保障措施，扩大新就业形态就业人员职业伤害保障试点。坚决纠正性别、年龄、学历等就业歧视，保障农民工工资支付，完善劳动关系协商协调机制，维护劳动者合法权益。适应先进制造、现代服务、养老照护等领域人才需求，加强职业技能培训。多渠道增加城乡居民收入，扩大中等收入群体规模，努力促进低收入群体增收。</w:t>
      </w:r>
    </w:p>
    <w:p>
      <w:pPr>
        <w:pStyle w:val="4"/>
        <w:rPr>
          <w:highlight w:val="yellow"/>
          <w:lang w:val="en-US"/>
        </w:rPr>
      </w:pPr>
      <w:r>
        <w:rPr>
          <w:highlight w:val="yellow"/>
          <w:lang w:val="en-US"/>
        </w:rPr>
        <w:t>中国政府面对经济下行的应对之举</w:t>
      </w:r>
    </w:p>
    <w:p>
      <w:pPr>
        <w:ind w:firstLine="420" w:firstLineChars="200"/>
        <w:rPr>
          <w:rFonts w:ascii="Times New Roman" w:hAnsi="Times New Roman" w:eastAsia="宋体" w:cs="Times New Roman"/>
          <w:highlight w:val="yellow"/>
          <w:lang w:val="en-US"/>
        </w:rPr>
      </w:pPr>
      <w:r>
        <w:rPr>
          <w:rFonts w:ascii="Times New Roman" w:hAnsi="Times New Roman" w:eastAsia="宋体" w:cs="Times New Roman"/>
          <w:highlight w:val="yellow"/>
          <w:lang w:val="en-US"/>
        </w:rPr>
        <w:t>疫后经济恢复主要呈现波浪式发展、曲折式前进的特点。关于2023年以来国民经济和社会发展计划执行情况的报告分析指出，当前我国经济运行好转主要是恢复性的，增长的内生动力还不强，发展环境充满不确定性，经济运行持续回升的基础仍不稳固。从国际看，外部环境更为复杂严峻。从国内看，国内需求不足，一些企业经营困难，部分重点领域风险隐患有所积聚，民生保障和改善难度加大。</w:t>
      </w:r>
    </w:p>
    <w:p>
      <w:pPr>
        <w:ind w:firstLine="420" w:firstLineChars="200"/>
        <w:rPr>
          <w:rFonts w:ascii="Times New Roman" w:hAnsi="Times New Roman" w:eastAsia="宋体" w:cs="Times New Roman"/>
          <w:highlight w:val="yellow"/>
          <w:lang w:val="en-US"/>
        </w:rPr>
      </w:pPr>
      <w:r>
        <w:rPr>
          <w:rFonts w:ascii="Times New Roman" w:hAnsi="Times New Roman" w:eastAsia="宋体" w:cs="Times New Roman"/>
          <w:highlight w:val="yellow"/>
          <w:lang w:val="en-US"/>
        </w:rPr>
        <w:t>围绕政府的未来工作，国家要加大宏观政策调控力度，强化各类政策协调配合，加强逆周期调节和政策储备。积极扩大国内需求，通过增加居民收入扩大消费，通过终端需求带动有效供给。更好发挥政府投资带动作用，加快地方政府专项债券发行和使用。调动民间投资积极性，出台实施有针对性的激励民间投资政策。</w:t>
      </w:r>
    </w:p>
    <w:p>
      <w:pPr>
        <w:ind w:firstLine="420" w:firstLineChars="200"/>
        <w:rPr>
          <w:rFonts w:ascii="Times New Roman" w:hAnsi="Times New Roman" w:eastAsia="宋体" w:cs="Times New Roman"/>
          <w:highlight w:val="yellow"/>
          <w:lang w:val="en-US"/>
        </w:rPr>
      </w:pPr>
      <w:r>
        <w:rPr>
          <w:rFonts w:hint="eastAsia" w:ascii="Times New Roman" w:hAnsi="Times New Roman" w:eastAsia="宋体" w:cs="Times New Roman"/>
          <w:highlight w:val="yellow"/>
          <w:lang w:val="en-US"/>
        </w:rPr>
        <w:t>《</w:t>
      </w:r>
      <w:r>
        <w:rPr>
          <w:rFonts w:ascii="Times New Roman" w:hAnsi="Times New Roman" w:eastAsia="宋体" w:cs="Times New Roman"/>
          <w:highlight w:val="yellow"/>
          <w:lang w:val="en-US"/>
        </w:rPr>
        <w:t>报告</w:t>
      </w:r>
      <w:r>
        <w:rPr>
          <w:rFonts w:hint="eastAsia" w:ascii="Times New Roman" w:hAnsi="Times New Roman" w:eastAsia="宋体" w:cs="Times New Roman"/>
          <w:highlight w:val="yellow"/>
          <w:lang w:val="en-US"/>
        </w:rPr>
        <w:t>》</w:t>
      </w:r>
      <w:r>
        <w:rPr>
          <w:rFonts w:ascii="Times New Roman" w:hAnsi="Times New Roman" w:eastAsia="宋体" w:cs="Times New Roman"/>
          <w:highlight w:val="yellow"/>
          <w:lang w:val="en-US"/>
        </w:rPr>
        <w:t>提出，针对国企与私营企业的发展问题：</w:t>
      </w:r>
    </w:p>
    <w:p>
      <w:pPr>
        <w:pStyle w:val="29"/>
        <w:numPr>
          <w:ilvl w:val="0"/>
          <w:numId w:val="1"/>
        </w:numPr>
        <w:rPr>
          <w:rFonts w:ascii="Times New Roman" w:hAnsi="Times New Roman" w:eastAsia="宋体" w:cs="Times New Roman"/>
          <w:highlight w:val="yellow"/>
          <w:lang w:val="en-US"/>
        </w:rPr>
      </w:pPr>
      <w:r>
        <w:rPr>
          <w:rFonts w:ascii="Times New Roman" w:hAnsi="Times New Roman" w:eastAsia="宋体" w:cs="Times New Roman"/>
          <w:highlight w:val="yellow"/>
          <w:lang w:val="en-US"/>
        </w:rPr>
        <w:t>要持续深化改革开放，进一步完善市场准入负面清单制度，切实优化民营企业发展环境，坚决整治乱收费、乱罚款、乱摊派，解决拖欠企业账款问题。</w:t>
      </w:r>
    </w:p>
    <w:p>
      <w:pPr>
        <w:pStyle w:val="29"/>
        <w:numPr>
          <w:ilvl w:val="0"/>
          <w:numId w:val="1"/>
        </w:numPr>
        <w:rPr>
          <w:rFonts w:ascii="Times New Roman" w:hAnsi="Times New Roman" w:eastAsia="宋体" w:cs="Times New Roman"/>
          <w:highlight w:val="yellow"/>
          <w:lang w:val="en-US"/>
        </w:rPr>
      </w:pPr>
      <w:r>
        <w:rPr>
          <w:rFonts w:ascii="Times New Roman" w:hAnsi="Times New Roman" w:eastAsia="宋体" w:cs="Times New Roman"/>
          <w:highlight w:val="yellow"/>
          <w:lang w:val="en-US"/>
        </w:rPr>
        <w:t>加快建设更高水平开放型经济新体制，多措并举稳住外贸外资基本盘。</w:t>
      </w:r>
    </w:p>
    <w:p>
      <w:pPr>
        <w:pStyle w:val="29"/>
        <w:numPr>
          <w:ilvl w:val="0"/>
          <w:numId w:val="1"/>
        </w:numPr>
        <w:rPr>
          <w:rFonts w:ascii="Times New Roman" w:hAnsi="Times New Roman" w:eastAsia="宋体" w:cs="Times New Roman"/>
          <w:highlight w:val="yellow"/>
          <w:lang w:val="en-US"/>
        </w:rPr>
      </w:pPr>
      <w:r>
        <w:rPr>
          <w:rFonts w:ascii="Times New Roman" w:hAnsi="Times New Roman" w:eastAsia="宋体" w:cs="Times New Roman"/>
          <w:highlight w:val="yellow"/>
          <w:lang w:val="en-US"/>
        </w:rPr>
        <w:t>因地制宜推动区域协调发展，加大区域重大战略实施力度。</w:t>
      </w:r>
    </w:p>
    <w:p>
      <w:pPr>
        <w:pStyle w:val="4"/>
        <w:rPr>
          <w:highlight w:val="yellow"/>
          <w:lang w:val="en-US"/>
        </w:rPr>
      </w:pPr>
      <w:r>
        <w:rPr>
          <w:highlight w:val="yellow"/>
          <w:lang w:val="en-US"/>
        </w:rPr>
        <w:t>针对房地产等重点领域风险防化：</w:t>
      </w:r>
    </w:p>
    <w:p>
      <w:pPr>
        <w:pStyle w:val="29"/>
        <w:numPr>
          <w:ilvl w:val="0"/>
          <w:numId w:val="2"/>
        </w:numPr>
        <w:rPr>
          <w:rFonts w:ascii="Times New Roman" w:hAnsi="Times New Roman" w:eastAsia="宋体" w:cs="Times New Roman"/>
          <w:highlight w:val="yellow"/>
          <w:lang w:val="en-US"/>
        </w:rPr>
      </w:pPr>
      <w:r>
        <w:rPr>
          <w:rFonts w:ascii="Times New Roman" w:hAnsi="Times New Roman" w:eastAsia="宋体" w:cs="Times New Roman"/>
          <w:highlight w:val="yellow"/>
          <w:lang w:val="en-US"/>
        </w:rPr>
        <w:t>加强风险预警和妥善处置，适应我国房地产市场供求关系发生重大变化的新形势，因城施策用好政策工具箱，优化供地结构，更好满足居民刚性和改善性住房需求，促进房地产市场平稳健康发展。增加保障性住房供给，支持地方政府和企业加大保障性租赁住房建设。</w:t>
      </w:r>
    </w:p>
    <w:p>
      <w:pPr>
        <w:pStyle w:val="29"/>
        <w:numPr>
          <w:ilvl w:val="0"/>
          <w:numId w:val="2"/>
        </w:numPr>
        <w:rPr>
          <w:rFonts w:ascii="Times New Roman" w:hAnsi="Times New Roman" w:eastAsia="宋体" w:cs="Times New Roman"/>
          <w:highlight w:val="yellow"/>
          <w:lang w:val="en-US"/>
        </w:rPr>
      </w:pPr>
      <w:r>
        <w:rPr>
          <w:rFonts w:ascii="Times New Roman" w:hAnsi="Times New Roman" w:eastAsia="宋体" w:cs="Times New Roman"/>
          <w:highlight w:val="yellow"/>
          <w:lang w:val="en-US"/>
        </w:rPr>
        <w:t>有效防范化解地方债务风险，落实好一揽子化债方案。稳妥处置金融领域风险，稳步推动高风险中小金融机构改革化险。</w:t>
      </w:r>
    </w:p>
    <w:p>
      <w:pPr>
        <w:pStyle w:val="2"/>
        <w:rPr>
          <w:lang w:val="en-US"/>
        </w:rPr>
      </w:pPr>
      <w:r>
        <w:rPr>
          <w:rFonts w:hint="eastAsia"/>
          <w:lang w:val="en-US"/>
        </w:rPr>
        <w:t>世界范围内不同国家针对经济下行与就业问题的举措</w:t>
      </w:r>
    </w:p>
    <w:p>
      <w:pPr>
        <w:pStyle w:val="3"/>
        <w:rPr>
          <w:lang w:val="en-US"/>
        </w:rPr>
      </w:pPr>
      <w:r>
        <w:rPr>
          <w:rFonts w:hint="eastAsia"/>
          <w:lang w:val="en-US"/>
        </w:rPr>
        <w:t>日本</w:t>
      </w:r>
    </w:p>
    <w:p>
      <w:pPr>
        <w:ind w:firstLine="420" w:firstLineChars="200"/>
        <w:rPr>
          <w:rFonts w:ascii="Times New Roman" w:hAnsi="Times New Roman" w:eastAsia="宋体" w:cs="Times New Roman"/>
          <w:lang w:val="en-US"/>
        </w:rPr>
      </w:pPr>
      <w:r>
        <w:rPr>
          <w:rFonts w:ascii="Times New Roman" w:hAnsi="Times New Roman" w:eastAsia="宋体" w:cs="Times New Roman"/>
          <w:lang w:val="en-US"/>
        </w:rPr>
        <w:t>由图中可以观察到日本的失业率在大多数时间内低于5%，始终以低失业率著称。根据OECD（经济合作与发展组织）计的各国失业率显示，在疫情3年期间，日本的失业率都没有超过3%。</w:t>
      </w:r>
    </w:p>
    <w:p>
      <w:pPr>
        <w:keepNext/>
        <w:ind w:firstLine="420" w:firstLineChars="200"/>
        <w:jc w:val="center"/>
      </w:pPr>
      <w:r>
        <w:drawing>
          <wp:inline distT="0" distB="0" distL="0" distR="0">
            <wp:extent cx="5274310" cy="2966720"/>
            <wp:effectExtent l="0" t="0" r="0" b="5080"/>
            <wp:docPr id="656176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7646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图 </w:t>
      </w:r>
      <w:r>
        <w:rPr>
          <w:rFonts w:ascii="Times New Roman" w:hAnsi="Times New Roman" w:eastAsia="宋体" w:cs="Times New Roman"/>
        </w:rPr>
        <w:fldChar w:fldCharType="begin"/>
      </w:r>
      <w:r>
        <w:rPr>
          <w:rFonts w:ascii="Times New Roman" w:hAnsi="Times New Roman" w:eastAsia="宋体" w:cs="Times New Roman"/>
        </w:rPr>
        <w:instrText xml:space="preserve"> SEQ 图 \* ARABIC </w:instrText>
      </w:r>
      <w:r>
        <w:rPr>
          <w:rFonts w:ascii="Times New Roman" w:hAnsi="Times New Roman" w:eastAsia="宋体" w:cs="Times New Roman"/>
        </w:rPr>
        <w:fldChar w:fldCharType="separate"/>
      </w:r>
      <w:r>
        <w:rPr>
          <w:rFonts w:ascii="Times New Roman" w:hAnsi="Times New Roman" w:eastAsia="宋体" w:cs="Times New Roman"/>
        </w:rPr>
        <w:t>5</w:t>
      </w:r>
      <w:r>
        <w:rPr>
          <w:rFonts w:ascii="Times New Roman" w:hAnsi="Times New Roman" w:eastAsia="宋体" w:cs="Times New Roman"/>
        </w:rPr>
        <w:fldChar w:fldCharType="end"/>
      </w:r>
      <w:r>
        <w:rPr>
          <w:rFonts w:hint="eastAsia" w:ascii="Times New Roman" w:hAnsi="Times New Roman" w:eastAsia="宋体" w:cs="Times New Roman"/>
        </w:rPr>
        <w:t>世界失业图（OECD失业率，黑色为OCED Total，蓝色代表美国，紫色代表德国，红色代表日本）</w:t>
      </w:r>
    </w:p>
    <w:p>
      <w:pPr>
        <w:ind w:firstLine="420" w:firstLineChars="200"/>
        <w:rPr>
          <w:rFonts w:ascii="Times New Roman" w:hAnsi="Times New Roman" w:eastAsia="宋体" w:cs="Times New Roman"/>
          <w:lang w:val="en-US"/>
        </w:rPr>
      </w:pPr>
      <w:r>
        <w:rPr>
          <w:rFonts w:ascii="Times New Roman" w:hAnsi="Times New Roman" w:eastAsia="宋体" w:cs="Times New Roman"/>
          <w:lang w:val="en-US"/>
        </w:rPr>
        <w:t>日本的高就业率来源于其特殊的劳动力市场问题。少子化和老龄化是目前日本面临的主要人口问题，为了缓解劳动力短缺和养老负担，日本政府决定鼓励高龄劳动者再就业。其原因有：缓解劳动力短缺的就业</w:t>
      </w:r>
      <w:r>
        <w:rPr>
          <w:rFonts w:hint="eastAsia" w:ascii="Times New Roman" w:hAnsi="Times New Roman" w:eastAsia="宋体" w:cs="Times New Roman"/>
          <w:lang w:val="en-US"/>
        </w:rPr>
        <w:t>压力；缓</w:t>
      </w:r>
      <w:r>
        <w:rPr>
          <w:rFonts w:ascii="Times New Roman" w:hAnsi="Times New Roman" w:eastAsia="宋体" w:cs="Times New Roman"/>
          <w:lang w:val="en-US"/>
        </w:rPr>
        <w:t>解养老金的财政压力</w:t>
      </w:r>
      <w:r>
        <w:rPr>
          <w:rFonts w:hint="eastAsia" w:ascii="Times New Roman" w:hAnsi="Times New Roman" w:eastAsia="宋体" w:cs="Times New Roman"/>
          <w:lang w:val="en-US"/>
        </w:rPr>
        <w:t>。</w:t>
      </w:r>
    </w:p>
    <w:p>
      <w:pPr>
        <w:keepNext/>
        <w:ind w:firstLine="420" w:firstLineChars="200"/>
        <w:jc w:val="center"/>
      </w:pPr>
      <w:r>
        <w:drawing>
          <wp:inline distT="0" distB="0" distL="0" distR="0">
            <wp:extent cx="3532505" cy="2055495"/>
            <wp:effectExtent l="0" t="0" r="0" b="1905"/>
            <wp:docPr id="156610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079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8143" cy="207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ascii="Times New Roman" w:hAnsi="Times New Roman" w:eastAsia="宋体" w:cs="Times New Roman"/>
          <w:lang w:val="en-US"/>
        </w:rPr>
      </w:pPr>
      <w:r>
        <w:rPr>
          <w:rFonts w:ascii="Times New Roman" w:hAnsi="Times New Roman" w:eastAsia="宋体" w:cs="Times New Roman"/>
        </w:rPr>
        <w:t xml:space="preserve">图 </w:t>
      </w:r>
      <w:r>
        <w:rPr>
          <w:rFonts w:ascii="Times New Roman" w:hAnsi="Times New Roman" w:eastAsia="宋体" w:cs="Times New Roman"/>
        </w:rPr>
        <w:fldChar w:fldCharType="begin"/>
      </w:r>
      <w:r>
        <w:rPr>
          <w:rFonts w:ascii="Times New Roman" w:hAnsi="Times New Roman" w:eastAsia="宋体" w:cs="Times New Roman"/>
        </w:rPr>
        <w:instrText xml:space="preserve"> SEQ 图 \* ARABIC </w:instrText>
      </w:r>
      <w:r>
        <w:rPr>
          <w:rFonts w:ascii="Times New Roman" w:hAnsi="Times New Roman" w:eastAsia="宋体" w:cs="Times New Roman"/>
        </w:rPr>
        <w:fldChar w:fldCharType="separate"/>
      </w:r>
      <w:r>
        <w:rPr>
          <w:rFonts w:ascii="Times New Roman" w:hAnsi="Times New Roman" w:eastAsia="宋体" w:cs="Times New Roman"/>
        </w:rPr>
        <w:t>6</w:t>
      </w:r>
      <w:r>
        <w:rPr>
          <w:rFonts w:ascii="Times New Roman" w:hAnsi="Times New Roman" w:eastAsia="宋体" w:cs="Times New Roman"/>
        </w:rPr>
        <w:fldChar w:fldCharType="end"/>
      </w:r>
      <w:r>
        <w:rPr>
          <w:rFonts w:hint="eastAsia" w:ascii="Times New Roman" w:hAnsi="Times New Roman" w:eastAsia="宋体" w:cs="Times New Roman"/>
        </w:rPr>
        <w:t>日本各年龄段（60岁以上）就业率推算</w:t>
      </w:r>
    </w:p>
    <w:p>
      <w:pPr>
        <w:ind w:firstLine="420" w:firstLineChars="200"/>
        <w:rPr>
          <w:rFonts w:ascii="Times New Roman" w:hAnsi="Times New Roman" w:eastAsia="宋体" w:cs="Times New Roman"/>
          <w:lang w:val="en-US"/>
        </w:rPr>
      </w:pPr>
      <w:r>
        <w:rPr>
          <w:rFonts w:ascii="Times New Roman" w:hAnsi="Times New Roman" w:eastAsia="宋体" w:cs="Times New Roman"/>
          <w:lang w:val="en-US"/>
        </w:rPr>
        <w:t>对此，日本针对促进高龄劳动者在立法、政策、管理等角度给出了相应举措，如：</w:t>
      </w:r>
    </w:p>
    <w:p>
      <w:pPr>
        <w:pStyle w:val="29"/>
        <w:numPr>
          <w:ilvl w:val="0"/>
          <w:numId w:val="3"/>
        </w:numPr>
        <w:rPr>
          <w:rFonts w:ascii="Times New Roman" w:hAnsi="Times New Roman" w:eastAsia="宋体" w:cs="Times New Roman"/>
          <w:lang w:val="en-US"/>
        </w:rPr>
      </w:pPr>
      <w:r>
        <w:rPr>
          <w:rFonts w:ascii="Times New Roman" w:hAnsi="Times New Roman" w:eastAsia="宋体" w:cs="Times New Roman"/>
          <w:lang w:val="en-US"/>
        </w:rPr>
        <w:t>完善养老金制度为促进高龄劳动者就业提供有利条件。为了缓解养老金面临的财政压力，日本提倡高龄者推迟领取养老金。</w:t>
      </w:r>
    </w:p>
    <w:p>
      <w:pPr>
        <w:pStyle w:val="29"/>
        <w:numPr>
          <w:ilvl w:val="0"/>
          <w:numId w:val="3"/>
        </w:numPr>
        <w:rPr>
          <w:rFonts w:ascii="Times New Roman" w:hAnsi="Times New Roman" w:eastAsia="宋体" w:cs="Times New Roman"/>
          <w:lang w:val="en-US"/>
        </w:rPr>
      </w:pPr>
      <w:r>
        <w:rPr>
          <w:rFonts w:ascii="Times New Roman" w:hAnsi="Times New Roman" w:eastAsia="宋体" w:cs="Times New Roman"/>
          <w:lang w:val="en-US"/>
        </w:rPr>
        <w:t>完善相关法案保障高龄劳动者的就业环境。</w:t>
      </w:r>
    </w:p>
    <w:p>
      <w:pPr>
        <w:pStyle w:val="29"/>
        <w:numPr>
          <w:ilvl w:val="0"/>
          <w:numId w:val="3"/>
        </w:numPr>
        <w:rPr>
          <w:rFonts w:ascii="Times New Roman" w:hAnsi="Times New Roman" w:eastAsia="宋体" w:cs="Times New Roman"/>
          <w:lang w:val="en-US"/>
        </w:rPr>
      </w:pPr>
      <w:r>
        <w:rPr>
          <w:rFonts w:ascii="Times New Roman" w:hAnsi="Times New Roman" w:eastAsia="宋体" w:cs="Times New Roman"/>
          <w:lang w:val="en-US"/>
        </w:rPr>
        <w:t>针对不同人群实行不同的退休机制。</w:t>
      </w:r>
    </w:p>
    <w:p>
      <w:pPr>
        <w:pStyle w:val="29"/>
        <w:numPr>
          <w:ilvl w:val="0"/>
          <w:numId w:val="3"/>
        </w:numPr>
        <w:rPr>
          <w:rFonts w:ascii="Times New Roman" w:hAnsi="Times New Roman" w:eastAsia="宋体" w:cs="Times New Roman"/>
          <w:lang w:val="en-US"/>
        </w:rPr>
      </w:pPr>
      <w:r>
        <w:rPr>
          <w:rFonts w:ascii="Times New Roman" w:hAnsi="Times New Roman" w:eastAsia="宋体" w:cs="Times New Roman"/>
          <w:lang w:val="en-US"/>
        </w:rPr>
        <w:t>推动健康老龄化，扩大高龄劳动者队伍。</w:t>
      </w:r>
    </w:p>
    <w:p>
      <w:pPr>
        <w:ind w:firstLine="420" w:firstLineChars="200"/>
        <w:rPr>
          <w:rFonts w:ascii="Times New Roman" w:hAnsi="Times New Roman" w:eastAsia="宋体" w:cs="Times New Roman"/>
          <w:lang w:val="en-US"/>
        </w:rPr>
      </w:pPr>
      <w:r>
        <w:rPr>
          <w:rFonts w:ascii="Times New Roman" w:hAnsi="Times New Roman" w:eastAsia="宋体" w:cs="Times New Roman"/>
          <w:lang w:val="en-US"/>
        </w:rPr>
        <w:t>但就业率表现如此优秀的日本，同样也面对着经济下行带来的负面冲击。根据OECD的调查数据显示，日本制造业的出口占据其总出口的80%左右。但由于海外市场需求的下降，作为日本经济支柱的制造业则首当其冲受到影响，无法为市场提供更多的就业机会。而且，随着生育率降低以及高龄就业率升高的问题延续，日本社会的持续运行就始终存在着问题。</w:t>
      </w:r>
    </w:p>
    <w:p>
      <w:pPr>
        <w:ind w:firstLine="420" w:firstLineChars="200"/>
        <w:rPr>
          <w:rFonts w:ascii="Times New Roman" w:hAnsi="Times New Roman" w:eastAsia="宋体" w:cs="Times New Roman"/>
          <w:lang w:val="en-US"/>
        </w:rPr>
      </w:pPr>
      <w:r>
        <w:rPr>
          <w:rFonts w:ascii="Times New Roman" w:hAnsi="Times New Roman" w:eastAsia="宋体" w:cs="Times New Roman"/>
          <w:lang w:val="en-US"/>
        </w:rPr>
        <w:t>日本经济下行，可以归结为失去的20年，表现不只是经济下行，同时还伴随着持续的通货紧缩。《繁荣与停滞:日本经济发展和转型》一书中指出，在2012年之后，“失去的20年”结束了。安倍政府在采取了极端的宽松货币政策支持需求扩张之后，日本经济有明显的恢复，迎来了日本20世纪80年代以来最长的一轮经济景气周期，给失去的20年画上了句号。靠着需求政策，刺激需求，走出了“失去的20年”。</w:t>
      </w:r>
    </w:p>
    <w:p>
      <w:pPr>
        <w:ind w:firstLine="420" w:firstLineChars="200"/>
        <w:rPr>
          <w:rFonts w:hint="eastAsia" w:ascii="Times New Roman" w:hAnsi="Times New Roman" w:eastAsia="宋体" w:cs="Times New Roman"/>
          <w:lang w:val="en-US"/>
        </w:rPr>
      </w:pPr>
      <w:r>
        <w:rPr>
          <w:rFonts w:ascii="Times New Roman" w:hAnsi="Times New Roman" w:eastAsia="宋体" w:cs="Times New Roman"/>
          <w:lang w:val="en-US"/>
        </w:rPr>
        <w:t>日本学者指出，安倍政府成功的经验源自于足够强力且持久的刺激政策。原先经济复苏失败的原因在宏观经济上通常被笼统地归纳为两点：（1）经济困难时，政策刺激的力度不足；（2）经济还没有充分复苏就开始收缩。</w:t>
      </w:r>
    </w:p>
    <w:p>
      <w:pPr>
        <w:pStyle w:val="3"/>
        <w:rPr>
          <w:lang w:val="en-US"/>
        </w:rPr>
      </w:pPr>
      <w:r>
        <w:rPr>
          <w:rFonts w:hint="eastAsia"/>
          <w:lang w:val="en-US"/>
        </w:rPr>
        <w:t>美国</w:t>
      </w:r>
    </w:p>
    <w:p>
      <w:pPr>
        <w:ind w:firstLine="420" w:firstLineChars="200"/>
        <w:rPr>
          <w:rFonts w:ascii="Times New Roman" w:hAnsi="Times New Roman" w:eastAsia="宋体" w:cs="Times New Roman"/>
          <w:lang w:val="en-US"/>
        </w:rPr>
      </w:pPr>
      <w:r>
        <w:rPr>
          <w:rFonts w:ascii="Times New Roman" w:hAnsi="Times New Roman" w:eastAsia="宋体" w:cs="Times New Roman"/>
          <w:lang w:val="en-US"/>
        </w:rPr>
        <w:t>美国政府针对经济和就业问题，主要采取宽松的财政和货币政策以此来进行双重刺激。</w:t>
      </w:r>
    </w:p>
    <w:p>
      <w:pPr>
        <w:keepNext/>
        <w:ind w:firstLine="420" w:firstLineChars="200"/>
        <w:jc w:val="center"/>
      </w:pPr>
      <w:r>
        <w:drawing>
          <wp:inline distT="0" distB="0" distL="0" distR="0">
            <wp:extent cx="3823335" cy="2150745"/>
            <wp:effectExtent l="0" t="0" r="0" b="0"/>
            <wp:docPr id="1197979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7976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2394" cy="215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图 </w:t>
      </w:r>
      <w:r>
        <w:rPr>
          <w:rFonts w:ascii="Times New Roman" w:hAnsi="Times New Roman" w:eastAsia="宋体" w:cs="Times New Roman"/>
        </w:rPr>
        <w:fldChar w:fldCharType="begin"/>
      </w:r>
      <w:r>
        <w:rPr>
          <w:rFonts w:ascii="Times New Roman" w:hAnsi="Times New Roman" w:eastAsia="宋体" w:cs="Times New Roman"/>
        </w:rPr>
        <w:instrText xml:space="preserve"> SEQ 图 \* ARABIC </w:instrText>
      </w:r>
      <w:r>
        <w:rPr>
          <w:rFonts w:ascii="Times New Roman" w:hAnsi="Times New Roman" w:eastAsia="宋体" w:cs="Times New Roman"/>
        </w:rPr>
        <w:fldChar w:fldCharType="separate"/>
      </w:r>
      <w:r>
        <w:rPr>
          <w:rFonts w:ascii="Times New Roman" w:hAnsi="Times New Roman" w:eastAsia="宋体" w:cs="Times New Roman"/>
        </w:rPr>
        <w:t>7</w:t>
      </w:r>
      <w:r>
        <w:rPr>
          <w:rFonts w:ascii="Times New Roman" w:hAnsi="Times New Roman" w:eastAsia="宋体" w:cs="Times New Roman"/>
        </w:rPr>
        <w:fldChar w:fldCharType="end"/>
      </w:r>
      <w:r>
        <w:rPr>
          <w:rFonts w:hint="eastAsia" w:ascii="Times New Roman" w:hAnsi="Times New Roman" w:eastAsia="宋体" w:cs="Times New Roman"/>
        </w:rPr>
        <w:t xml:space="preserve"> OECD失业率（美国）</w:t>
      </w:r>
    </w:p>
    <w:p>
      <w:pPr>
        <w:ind w:firstLine="420" w:firstLineChars="200"/>
        <w:rPr>
          <w:rFonts w:ascii="Times New Roman" w:hAnsi="Times New Roman" w:eastAsia="宋体" w:cs="Times New Roman"/>
          <w:lang w:val="en-US"/>
        </w:rPr>
      </w:pPr>
      <w:r>
        <w:rPr>
          <w:rFonts w:ascii="Times New Roman" w:hAnsi="Times New Roman" w:eastAsia="宋体" w:cs="Times New Roman"/>
          <w:lang w:val="en-US"/>
        </w:rPr>
        <w:t>货币政策方面，美联储认为和疫情前相比，还有一千万人没有工作，所以目前创造就业仍然是重中之重。因而，美联储不会改变一直以来的，以QE和接近零的利息率为特征的货币政策。</w:t>
      </w:r>
    </w:p>
    <w:p>
      <w:pPr>
        <w:ind w:firstLine="420" w:firstLineChars="200"/>
        <w:rPr>
          <w:rFonts w:hint="eastAsia" w:ascii="Times New Roman" w:hAnsi="Times New Roman" w:eastAsia="宋体" w:cs="Times New Roman"/>
          <w:lang w:val="en-US"/>
        </w:rPr>
      </w:pPr>
      <w:r>
        <w:rPr>
          <w:rFonts w:ascii="Times New Roman" w:hAnsi="Times New Roman" w:eastAsia="宋体" w:cs="Times New Roman"/>
          <w:lang w:val="en-US"/>
        </w:rPr>
        <w:t>财政政策方面，特朗普政府在2020年3月27日、4月27日、12月22日分别通过了2.2万亿美元、4840亿美元、9000亿美元的财政刺激计划。这些财政刺激资金一部分用于直接向民众发放现金，另一部分用于给工厂雇佣工人提高补贴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076D24"/>
    <w:multiLevelType w:val="multilevel"/>
    <w:tmpl w:val="27076D24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08723EF"/>
    <w:multiLevelType w:val="multilevel"/>
    <w:tmpl w:val="508723EF"/>
    <w:lvl w:ilvl="0" w:tentative="0">
      <w:start w:val="1"/>
      <w:numFmt w:val="decimal"/>
      <w:lvlText w:val="%1."/>
      <w:lvlJc w:val="left"/>
      <w:pPr>
        <w:ind w:left="860" w:hanging="44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28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61391206"/>
    <w:multiLevelType w:val="multilevel"/>
    <w:tmpl w:val="61391206"/>
    <w:lvl w:ilvl="0" w:tentative="0">
      <w:start w:val="1"/>
      <w:numFmt w:val="decimal"/>
      <w:lvlText w:val="%1."/>
      <w:lvlJc w:val="left"/>
      <w:pPr>
        <w:ind w:left="86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QzNzI3ODYxZGU5ZmExN2U4ZTQ2ZWZjMTViYzEzOTQifQ=="/>
  </w:docVars>
  <w:rsids>
    <w:rsidRoot w:val="00E45DCF"/>
    <w:rsid w:val="000C27CB"/>
    <w:rsid w:val="00120848"/>
    <w:rsid w:val="004613D7"/>
    <w:rsid w:val="00815AAD"/>
    <w:rsid w:val="00B668BA"/>
    <w:rsid w:val="00E45DCF"/>
    <w:rsid w:val="00F100A2"/>
    <w:rsid w:val="0D532C44"/>
    <w:rsid w:val="20DB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GB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2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GB"/>
    </w:rPr>
  </w:style>
  <w:style w:type="character" w:customStyle="1" w:styleId="17">
    <w:name w:val="标题 2 字符"/>
    <w:basedOn w:val="15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  <w:lang w:val="en-GB"/>
    </w:rPr>
  </w:style>
  <w:style w:type="character" w:customStyle="1" w:styleId="18">
    <w:name w:val="标题 3 字符"/>
    <w:basedOn w:val="15"/>
    <w:link w:val="4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GB"/>
    </w:rPr>
  </w:style>
  <w:style w:type="character" w:customStyle="1" w:styleId="19">
    <w:name w:val="标题 4 字符"/>
    <w:basedOn w:val="15"/>
    <w:link w:val="5"/>
    <w:semiHidden/>
    <w:uiPriority w:val="9"/>
    <w:rPr>
      <w:rFonts w:cstheme="majorBidi"/>
      <w:color w:val="104862" w:themeColor="accent1" w:themeShade="BF"/>
      <w:sz w:val="28"/>
      <w:szCs w:val="28"/>
      <w:lang w:val="en-GB"/>
    </w:rPr>
  </w:style>
  <w:style w:type="character" w:customStyle="1" w:styleId="20">
    <w:name w:val="标题 5 字符"/>
    <w:basedOn w:val="15"/>
    <w:link w:val="6"/>
    <w:semiHidden/>
    <w:uiPriority w:val="9"/>
    <w:rPr>
      <w:rFonts w:cstheme="majorBidi"/>
      <w:color w:val="104862" w:themeColor="accent1" w:themeShade="BF"/>
      <w:sz w:val="24"/>
      <w:lang w:val="en-GB"/>
    </w:rPr>
  </w:style>
  <w:style w:type="character" w:customStyle="1" w:styleId="21">
    <w:name w:val="标题 6 字符"/>
    <w:basedOn w:val="15"/>
    <w:link w:val="7"/>
    <w:semiHidden/>
    <w:uiPriority w:val="9"/>
    <w:rPr>
      <w:rFonts w:cstheme="majorBidi"/>
      <w:b/>
      <w:bCs/>
      <w:color w:val="104862" w:themeColor="accent1" w:themeShade="BF"/>
      <w:lang w:val="en-GB"/>
    </w:rPr>
  </w:style>
  <w:style w:type="character" w:customStyle="1" w:styleId="22">
    <w:name w:val="标题 7 字符"/>
    <w:basedOn w:val="15"/>
    <w:link w:val="8"/>
    <w:semiHidden/>
    <w:uiPriority w:val="9"/>
    <w:rPr>
      <w:rFonts w:cstheme="majorBidi"/>
      <w:b/>
      <w:bCs/>
      <w:color w:val="595959" w:themeColor="text1" w:themeTint="A6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uiPriority w:val="9"/>
    <w:rPr>
      <w:rFonts w:cstheme="majorBidi"/>
      <w:color w:val="595959" w:themeColor="text1" w:themeTint="A6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GB"/>
    </w:rPr>
  </w:style>
  <w:style w:type="character" w:customStyle="1" w:styleId="26">
    <w:name w:val="副标题 字符"/>
    <w:basedOn w:val="15"/>
    <w:link w:val="12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uiPriority w:val="29"/>
    <w:rPr>
      <w:i/>
      <w:iCs/>
      <w:color w:val="404040" w:themeColor="text1" w:themeTint="BF"/>
      <w:lang w:val="en-GB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5"/>
    <w:link w:val="31"/>
    <w:uiPriority w:val="30"/>
    <w:rPr>
      <w:i/>
      <w:iCs/>
      <w:color w:val="104862" w:themeColor="accent1" w:themeShade="BF"/>
      <w:lang w:val="en-GB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677</Words>
  <Characters>3864</Characters>
  <Lines>32</Lines>
  <Paragraphs>9</Paragraphs>
  <TotalTime>23</TotalTime>
  <ScaleCrop>false</ScaleCrop>
  <LinksUpToDate>false</LinksUpToDate>
  <CharactersWithSpaces>4532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2024-03-25T13:13:00Z</dcterms:created>
  <dc:creator>昕烨 王</dc:creator>
  <cp:lastModifiedBy>pc</cp:lastModifiedBy>
  <dcterms:modified xsi:type="dcterms:W3CDTF">2024-05-13T13:04:37Z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2052-11.1.0.14650</vt:lpwstr>
  </property>
  <property fmtid="{D5CDD505-2E9C-101B-9397-08002B2CF9AE}" pid="3" name="ICV">
    <vt:lpwstr>F2B59DD75439439188DBBB089242CE78_12</vt:lpwstr>
  </property>
</Properties>
</file>