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rFonts w:ascii="宋体" w:hAnsi="宋体"/>
        </w:rPr>
      </w:pPr>
      <w:bookmarkStart w:id="0" w:name="_Toc54535953"/>
      <w:bookmarkStart w:id="1" w:name="_Toc54554911"/>
      <w:bookmarkStart w:id="2" w:name="_Toc59267047"/>
      <w:r>
        <w:rPr>
          <w:rFonts w:ascii="宋体" w:hAnsi="宋体"/>
        </w:rPr>
        <w:drawing>
          <wp:inline distT="0" distB="0" distL="0" distR="0">
            <wp:extent cx="2736850" cy="26346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>
      <w:pPr>
        <w:ind w:firstLine="880"/>
        <w:jc w:val="center"/>
        <w:rPr>
          <w:rFonts w:ascii="宋体" w:hAnsi="宋体"/>
          <w:sz w:val="44"/>
          <w:szCs w:val="44"/>
        </w:rPr>
      </w:pPr>
      <w:bookmarkStart w:id="3" w:name="_Toc54554912"/>
      <w:bookmarkStart w:id="4" w:name="_Toc54535954"/>
    </w:p>
    <w:bookmarkEnd w:id="3"/>
    <w:bookmarkEnd w:id="4"/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过程控制与系统专题实验报告</w:t>
      </w: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ind w:firstLine="1280" w:firstLineChars="400"/>
        <w:jc w:val="both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实验</w:t>
      </w:r>
      <w:r>
        <w:rPr>
          <w:rFonts w:hint="eastAsia" w:ascii="宋体" w:hAnsi="宋体"/>
          <w:sz w:val="32"/>
          <w:szCs w:val="32"/>
          <w:lang w:eastAsia="zh-CN"/>
        </w:rPr>
        <w:t>题目</w:t>
      </w:r>
      <w:r>
        <w:rPr>
          <w:rFonts w:hint="eastAsia" w:ascii="宋体" w:hAnsi="宋体"/>
          <w:sz w:val="32"/>
          <w:szCs w:val="32"/>
        </w:rPr>
        <w:t>：单容自衡水箱液位特性测试</w:t>
      </w:r>
    </w:p>
    <w:p>
      <w:pPr>
        <w:ind w:firstLine="600"/>
        <w:rPr>
          <w:rFonts w:ascii="宋体" w:hAnsi="宋体"/>
          <w:sz w:val="30"/>
          <w:szCs w:val="30"/>
        </w:rPr>
      </w:pPr>
    </w:p>
    <w:p>
      <w:pPr>
        <w:ind w:firstLine="600"/>
        <w:rPr>
          <w:rFonts w:ascii="宋体" w:hAnsi="宋体"/>
          <w:sz w:val="30"/>
          <w:szCs w:val="30"/>
        </w:rPr>
      </w:pPr>
    </w:p>
    <w:p>
      <w:pPr>
        <w:ind w:firstLine="600"/>
        <w:rPr>
          <w:rFonts w:ascii="宋体" w:hAnsi="宋体"/>
          <w:sz w:val="30"/>
          <w:szCs w:val="30"/>
        </w:rPr>
      </w:pPr>
    </w:p>
    <w:p>
      <w:pPr>
        <w:ind w:firstLine="600"/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专业：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30"/>
                <w:szCs w:val="30"/>
                <w:u w:val="single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姓名：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30"/>
                <w:szCs w:val="30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班级：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30"/>
                <w:szCs w:val="30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30"/>
                <w:szCs w:val="30"/>
              </w:rPr>
              <w:t>学号：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30"/>
                <w:szCs w:val="30"/>
                <w:u w:val="single"/>
              </w:rPr>
            </w:pPr>
          </w:p>
        </w:tc>
      </w:tr>
      <w:bookmarkEnd w:id="2"/>
    </w:tbl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</w:p>
    <w:p>
      <w:pPr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1．掌握单容水箱的阶跃响应测试方法，并记录相应液位的响应曲线；</w:t>
      </w:r>
    </w:p>
    <w:p>
      <w:pPr>
        <w:ind w:firstLine="420"/>
        <w:rPr>
          <w:rFonts w:hint="eastAsia"/>
        </w:rPr>
      </w:pPr>
      <w:r>
        <w:rPr>
          <w:rFonts w:hint="eastAsia"/>
        </w:rPr>
        <w:t>2．根据实验得到的液位阶跃响应曲线，用相应的方法确定被测对象的特征参数 K、T和传递函数；</w:t>
      </w:r>
    </w:p>
    <w:p>
      <w:pPr>
        <w:ind w:firstLine="420"/>
      </w:pPr>
      <w:r>
        <w:rPr>
          <w:rFonts w:hint="eastAsia"/>
        </w:rPr>
        <w:t>3．掌握同一控制系统采用不同控制方案的实现过程。</w:t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bookmarkStart w:id="5" w:name="_Hlk133173992"/>
      <w:r>
        <w:rPr>
          <w:rFonts w:hint="eastAsia"/>
          <w:sz w:val="32"/>
          <w:szCs w:val="32"/>
        </w:rPr>
        <w:t>实验设备</w:t>
      </w:r>
    </w:p>
    <w:p>
      <w:pPr>
        <w:pStyle w:val="9"/>
        <w:ind w:firstLine="480"/>
        <w:rPr>
          <w:rFonts w:hint="eastAsia"/>
        </w:rPr>
      </w:pPr>
      <w:r>
        <w:rPr>
          <w:rFonts w:hint="eastAsia"/>
        </w:rPr>
        <w:t>1．实验对象及控制屏、SA-11 挂件一个、SA-12 挂件一个、计算机一台、万用表一个；</w:t>
      </w:r>
    </w:p>
    <w:p>
      <w:pPr>
        <w:pStyle w:val="9"/>
        <w:ind w:firstLine="480"/>
        <w:rPr>
          <w:rFonts w:hint="eastAsia"/>
        </w:rPr>
      </w:pPr>
      <w:r>
        <w:rPr>
          <w:rFonts w:hint="eastAsia"/>
        </w:rPr>
        <w:t>2．RS485/232 转换器一个、通讯线一根；</w:t>
      </w:r>
    </w:p>
    <w:p>
      <w:pPr>
        <w:pStyle w:val="9"/>
        <w:ind w:firstLine="480"/>
        <w:rPr>
          <w:rFonts w:hint="eastAsia"/>
        </w:rPr>
      </w:pPr>
      <w:r>
        <w:rPr>
          <w:rFonts w:hint="eastAsia"/>
        </w:rPr>
        <w:t>3．SA-44 挂件一个、PC/PPI 通讯电缆一根</w:t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系统</w:t>
      </w:r>
      <w:r>
        <w:rPr>
          <w:rFonts w:hint="eastAsia"/>
          <w:sz w:val="32"/>
          <w:szCs w:val="32"/>
        </w:rPr>
        <w:t>结构框图</w:t>
      </w:r>
    </w:p>
    <w:p>
      <w:pPr>
        <w:pStyle w:val="9"/>
        <w:ind w:firstLine="480"/>
        <w:rPr>
          <w:rFonts w:hint="eastAsia"/>
        </w:rPr>
      </w:pPr>
      <w:r>
        <w:drawing>
          <wp:inline distT="0" distB="0" distL="0" distR="0">
            <wp:extent cx="2536825" cy="3560445"/>
            <wp:effectExtent l="0" t="0" r="15875" b="1905"/>
            <wp:docPr id="859513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1377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接线图</w:t>
      </w:r>
    </w:p>
    <w:p>
      <w:pPr>
        <w:pStyle w:val="9"/>
        <w:ind w:firstLine="480"/>
      </w:pPr>
      <w:r>
        <w:drawing>
          <wp:inline distT="0" distB="0" distL="0" distR="0">
            <wp:extent cx="4008120" cy="3489960"/>
            <wp:effectExtent l="0" t="0" r="0" b="0"/>
            <wp:docPr id="138843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193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712" cy="34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内容步骤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固定出水阀门开度，设置电动调节阀开度初始值为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，观察液位上升曲线，如果液位上升非常缓慢或太快，适当增加或减少智能仪表的输出量，使液位达到平衡稳定，建议液位高度稳定在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5cm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左右。待下水箱液位平衡后，突增（如果液位稳定值在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10cm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附件，则突减）智能仪表输出量的大小，使其输出有一个正（或负）阶跃增量的变化（不超过±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），经过一段时间后，水箱液位进入新的平衡状态，记录此时的仪表输出值和液位测量值，液位的响应过程曲线。 </w:t>
      </w:r>
    </w:p>
    <w:p>
      <w:pPr>
        <w:pStyle w:val="9"/>
        <w:ind w:firstLine="480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根据记录的液位值和仪表输出值，计算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值，再根据实验曲线求得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值，写出单容水箱的传递函数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运行结果及分析</w:t>
      </w:r>
    </w:p>
    <w:p>
      <w:pPr>
        <w:pStyle w:val="9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6425" cy="2768600"/>
            <wp:effectExtent l="0" t="0" r="3175" b="1270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340360</wp:posOffset>
            </wp:positionV>
            <wp:extent cx="2002790" cy="360680"/>
            <wp:effectExtent l="0" t="0" r="0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t="9893" b="14171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该曲线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液位的响应过程曲线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上升到稳态值的 63%所对应的时间，就是水箱的时间常数 T。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而                            通过此式子就可以带入公式得到传递函数。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计算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单容水箱液位对象的参数</w:t>
      </w:r>
      <w:r>
        <w:rPr>
          <w:rFonts w:hint="eastAsia"/>
          <w:lang w:val="en-US" w:eastAsia="zh-CN"/>
        </w:rPr>
        <w:t>K、T</w:t>
      </w:r>
    </w:p>
    <w:p>
      <w:pPr>
        <w:pStyle w:val="9"/>
        <w:numPr>
          <w:numId w:val="0"/>
        </w:numPr>
        <w:ind w:left="480" w:left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单容水箱的传递函数</w:t>
      </w:r>
    </w:p>
    <w:p>
      <w:pPr>
        <w:pStyle w:val="9"/>
        <w:numPr>
          <w:numId w:val="0"/>
        </w:numPr>
        <w:ind w:left="480" w:leftChars="0"/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思考题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1．做本实验时，为什么不能任意改变出水阀 F1-11 开度的大小？ 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2．用响应曲线法确定对象的数学模型时，其精度与那些因素有关？ 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3．如果采用中水箱做实验，其响应曲线与下水箱的曲线有什么异同？并分析差异原因。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</w:t>
      </w:r>
    </w:p>
    <w:bookmarkEnd w:id="5"/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这次实验带我们初步了解了这个系统的运作方式，</w:t>
      </w:r>
      <w:r>
        <w:rPr>
          <w:rFonts w:hint="eastAsia"/>
        </w:rPr>
        <w:t>掌握单容水箱的阶跃响应测试方法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并且能够</w:t>
      </w:r>
      <w:r>
        <w:rPr>
          <w:rFonts w:hint="eastAsia"/>
        </w:rPr>
        <w:t>根据实验得到的液位阶跃响应曲线，用相应的方法确定特征参数 K、T和传递函数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91309"/>
    <w:multiLevelType w:val="multilevel"/>
    <w:tmpl w:val="5949130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6DA2342E"/>
    <w:multiLevelType w:val="multilevel"/>
    <w:tmpl w:val="6DA2342E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hMGExZTRlNzlmZGFhZTJjZjhiMDA5YTk2ZmNiOTUifQ=="/>
  </w:docVars>
  <w:rsids>
    <w:rsidRoot w:val="007D3AF0"/>
    <w:rsid w:val="000E3F2A"/>
    <w:rsid w:val="000F2DA0"/>
    <w:rsid w:val="00103060"/>
    <w:rsid w:val="002774AF"/>
    <w:rsid w:val="00280701"/>
    <w:rsid w:val="002F54E4"/>
    <w:rsid w:val="00324C2C"/>
    <w:rsid w:val="00341F2C"/>
    <w:rsid w:val="0038248A"/>
    <w:rsid w:val="00434BC2"/>
    <w:rsid w:val="00470377"/>
    <w:rsid w:val="00562DF0"/>
    <w:rsid w:val="00582F38"/>
    <w:rsid w:val="00601A4C"/>
    <w:rsid w:val="0061727A"/>
    <w:rsid w:val="00664F46"/>
    <w:rsid w:val="00696130"/>
    <w:rsid w:val="0069700D"/>
    <w:rsid w:val="00734D79"/>
    <w:rsid w:val="007C0E59"/>
    <w:rsid w:val="007D37C2"/>
    <w:rsid w:val="007D3AF0"/>
    <w:rsid w:val="00834A9F"/>
    <w:rsid w:val="00954779"/>
    <w:rsid w:val="009B3889"/>
    <w:rsid w:val="00A30D9A"/>
    <w:rsid w:val="00A760B2"/>
    <w:rsid w:val="00AC4833"/>
    <w:rsid w:val="00AD70D3"/>
    <w:rsid w:val="00AD7B00"/>
    <w:rsid w:val="00B15A9B"/>
    <w:rsid w:val="00DF64B8"/>
    <w:rsid w:val="00E121C9"/>
    <w:rsid w:val="00E83604"/>
    <w:rsid w:val="00FE25B0"/>
    <w:rsid w:val="04711A54"/>
    <w:rsid w:val="07434552"/>
    <w:rsid w:val="09D122E9"/>
    <w:rsid w:val="1A762684"/>
    <w:rsid w:val="24547947"/>
    <w:rsid w:val="269229A8"/>
    <w:rsid w:val="26C16DEA"/>
    <w:rsid w:val="2B2A1401"/>
    <w:rsid w:val="367125DA"/>
    <w:rsid w:val="3C916256"/>
    <w:rsid w:val="40520BAE"/>
    <w:rsid w:val="47E81FD1"/>
    <w:rsid w:val="57DD23AB"/>
    <w:rsid w:val="582F1556"/>
    <w:rsid w:val="5A9952EE"/>
    <w:rsid w:val="5B5C4D58"/>
    <w:rsid w:val="5FAD16DE"/>
    <w:rsid w:val="648F1CFA"/>
    <w:rsid w:val="66083B12"/>
    <w:rsid w:val="6C830396"/>
    <w:rsid w:val="6CFA12CD"/>
    <w:rsid w:val="74B11819"/>
    <w:rsid w:val="74EB4D2A"/>
    <w:rsid w:val="761B33ED"/>
    <w:rsid w:val="76F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rFonts w:ascii="Times New Roman" w:hAnsi="Times New Roman" w:eastAsia="宋体" w:cs="宋体"/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3014</Words>
  <Characters>3527</Characters>
  <Lines>7</Lines>
  <Paragraphs>1</Paragraphs>
  <TotalTime>2</TotalTime>
  <ScaleCrop>false</ScaleCrop>
  <LinksUpToDate>false</LinksUpToDate>
  <CharactersWithSpaces>3688</CharactersWithSpaces>
  <Application>WPS Office_11.8.2.11734_F1E327BC-269C-435d-A152-05C5408002CA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2023-04-23T11:29:00Z</dcterms:created>
  <dc:creator>李 怡霏</dc:creator>
  <cp:lastModifiedBy>Administrator</cp:lastModifiedBy>
  <dcterms:modified xsi:type="dcterms:W3CDTF">2024-03-06T01:00:55Z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2052-11.8.2.11734</vt:lpwstr>
  </property>
  <property fmtid="{D5CDD505-2E9C-101B-9397-08002B2CF9AE}" pid="3" name="ICV">
    <vt:lpwstr>2BE34FAAFD834394BC82FFC0D651ED66</vt:lpwstr>
  </property>
</Properties>
</file>