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33B6" w14:textId="0C945876" w:rsidR="004F364B" w:rsidRDefault="004F364B" w:rsidP="004F364B">
      <w:pPr>
        <w:jc w:val="right"/>
        <w:rPr>
          <w:i/>
        </w:rPr>
      </w:pPr>
      <w:r w:rsidRPr="004F364B">
        <w:rPr>
          <w:i/>
        </w:rPr>
        <w:t xml:space="preserve">Peralillo, </w:t>
      </w:r>
      <w:r w:rsidR="007C7FFB">
        <w:rPr>
          <w:i/>
        </w:rPr>
        <w:t>Diciembre</w:t>
      </w:r>
      <w:r w:rsidRPr="004F364B">
        <w:rPr>
          <w:i/>
        </w:rPr>
        <w:t xml:space="preserve"> de 202</w:t>
      </w:r>
      <w:r w:rsidR="004F3654">
        <w:rPr>
          <w:i/>
        </w:rPr>
        <w:t>4</w:t>
      </w:r>
      <w:r w:rsidRPr="004F364B">
        <w:rPr>
          <w:i/>
        </w:rPr>
        <w:t>.</w:t>
      </w:r>
    </w:p>
    <w:p w14:paraId="30C5A65C" w14:textId="77777777" w:rsidR="004F364B" w:rsidRDefault="004F364B" w:rsidP="004F364B">
      <w:pPr>
        <w:tabs>
          <w:tab w:val="left" w:pos="1815"/>
        </w:tabs>
        <w:rPr>
          <w:b/>
          <w:u w:val="single"/>
        </w:rPr>
      </w:pPr>
      <w:r>
        <w:tab/>
      </w:r>
      <w:r w:rsidRPr="004F364B">
        <w:rPr>
          <w:b/>
          <w:u w:val="single"/>
        </w:rPr>
        <w:t>Informe de eventos adversos institucionales.</w:t>
      </w:r>
    </w:p>
    <w:p w14:paraId="298BEEB7" w14:textId="77777777" w:rsidR="008B26B8" w:rsidRDefault="008A56EA" w:rsidP="008A56EA">
      <w:pPr>
        <w:jc w:val="both"/>
      </w:pPr>
      <w:r>
        <w:t xml:space="preserve">   </w:t>
      </w:r>
      <w:r w:rsidR="004F364B">
        <w:t>El Centro de Salud Familiar Dr. Orlando Leyton A ha incorporado desde Octubre de 2021 a la fecha un sistema de vigilancia de eventos adversos y centinelas asociados a la atención en salud. Para tal efecto se describen en la presente tabla las unidades verificadoras y tipos de eventos a analizar:</w:t>
      </w:r>
    </w:p>
    <w:tbl>
      <w:tblPr>
        <w:tblStyle w:val="Tablaconcuadrcula"/>
        <w:tblW w:w="9215" w:type="dxa"/>
        <w:tblInd w:w="-318" w:type="dxa"/>
        <w:tblLook w:val="04A0" w:firstRow="1" w:lastRow="0" w:firstColumn="1" w:lastColumn="0" w:noHBand="0" w:noVBand="1"/>
      </w:tblPr>
      <w:tblGrid>
        <w:gridCol w:w="2553"/>
        <w:gridCol w:w="3430"/>
        <w:gridCol w:w="3232"/>
      </w:tblGrid>
      <w:tr w:rsidR="004F364B" w14:paraId="0A2C80CD" w14:textId="77777777" w:rsidTr="00953530">
        <w:tc>
          <w:tcPr>
            <w:tcW w:w="2553" w:type="dxa"/>
          </w:tcPr>
          <w:p w14:paraId="7851AD68" w14:textId="77777777" w:rsidR="004F364B" w:rsidRPr="006E0235" w:rsidRDefault="004F364B" w:rsidP="00953530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0235">
              <w:rPr>
                <w:rFonts w:ascii="Arial" w:hAnsi="Arial" w:cs="Arial"/>
                <w:b/>
                <w:sz w:val="20"/>
                <w:szCs w:val="20"/>
              </w:rPr>
              <w:t>UNIDAD O SERVICIO</w:t>
            </w:r>
          </w:p>
        </w:tc>
        <w:tc>
          <w:tcPr>
            <w:tcW w:w="3430" w:type="dxa"/>
          </w:tcPr>
          <w:p w14:paraId="70766132" w14:textId="77777777" w:rsidR="004F364B" w:rsidRPr="006E0235" w:rsidRDefault="004F364B" w:rsidP="00953530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0235">
              <w:rPr>
                <w:rFonts w:ascii="Arial" w:hAnsi="Arial" w:cs="Arial"/>
                <w:b/>
                <w:sz w:val="20"/>
                <w:szCs w:val="20"/>
              </w:rPr>
              <w:t xml:space="preserve">EVENTOS ADVERSOS </w:t>
            </w:r>
          </w:p>
        </w:tc>
        <w:tc>
          <w:tcPr>
            <w:tcW w:w="3232" w:type="dxa"/>
          </w:tcPr>
          <w:p w14:paraId="087BA318" w14:textId="77777777" w:rsidR="004F364B" w:rsidRPr="00D15F65" w:rsidRDefault="004F364B" w:rsidP="00953530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15F65">
              <w:rPr>
                <w:rFonts w:ascii="Arial" w:hAnsi="Arial" w:cs="Arial"/>
                <w:b/>
              </w:rPr>
              <w:t>EVENTOS CENTINELA</w:t>
            </w:r>
          </w:p>
        </w:tc>
      </w:tr>
      <w:tr w:rsidR="004F364B" w14:paraId="4A1DC54A" w14:textId="77777777" w:rsidTr="00953530">
        <w:tc>
          <w:tcPr>
            <w:tcW w:w="2553" w:type="dxa"/>
          </w:tcPr>
          <w:p w14:paraId="6855EAF9" w14:textId="77777777" w:rsidR="004F364B" w:rsidRPr="006E0235" w:rsidRDefault="004F364B" w:rsidP="00953530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 w:rsidRPr="006E0235">
              <w:rPr>
                <w:rFonts w:ascii="Arial" w:hAnsi="Arial" w:cs="Arial"/>
                <w:b/>
                <w:sz w:val="20"/>
                <w:szCs w:val="20"/>
              </w:rPr>
              <w:t>Servicio de Urgencia Rural</w:t>
            </w:r>
          </w:p>
        </w:tc>
        <w:tc>
          <w:tcPr>
            <w:tcW w:w="3430" w:type="dxa"/>
          </w:tcPr>
          <w:p w14:paraId="43243CA1" w14:textId="77777777" w:rsidR="004F364B" w:rsidRPr="00512618" w:rsidRDefault="004F364B" w:rsidP="004F364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4F1809">
              <w:rPr>
                <w:rFonts w:ascii="Arial" w:hAnsi="Arial" w:cs="Arial"/>
                <w:sz w:val="20"/>
                <w:szCs w:val="20"/>
              </w:rPr>
              <w:t>Flebitis y extravasación en zona de infusión</w:t>
            </w:r>
          </w:p>
        </w:tc>
        <w:tc>
          <w:tcPr>
            <w:tcW w:w="3232" w:type="dxa"/>
          </w:tcPr>
          <w:p w14:paraId="6036D516" w14:textId="77777777" w:rsidR="004F364B" w:rsidRPr="006E0235" w:rsidRDefault="004F364B" w:rsidP="004F364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Caída de Usuario</w:t>
            </w:r>
          </w:p>
          <w:p w14:paraId="32999CB6" w14:textId="77777777" w:rsidR="004F364B" w:rsidRPr="006E0235" w:rsidRDefault="004F364B" w:rsidP="00953530">
            <w:pPr>
              <w:pStyle w:val="Sinespaciado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364B" w:rsidRPr="001C3C46" w14:paraId="068540E4" w14:textId="77777777" w:rsidTr="00953530">
        <w:tc>
          <w:tcPr>
            <w:tcW w:w="2553" w:type="dxa"/>
          </w:tcPr>
          <w:p w14:paraId="7326732F" w14:textId="77777777" w:rsidR="004F364B" w:rsidRPr="002369A4" w:rsidRDefault="004F364B" w:rsidP="00953530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D7975">
              <w:rPr>
                <w:rFonts w:ascii="Arial" w:hAnsi="Arial" w:cs="Arial"/>
                <w:b/>
                <w:sz w:val="20"/>
                <w:szCs w:val="20"/>
              </w:rPr>
              <w:t>Vacunatorio</w:t>
            </w:r>
          </w:p>
        </w:tc>
        <w:tc>
          <w:tcPr>
            <w:tcW w:w="3430" w:type="dxa"/>
          </w:tcPr>
          <w:p w14:paraId="251DC0F8" w14:textId="77777777" w:rsidR="004F364B" w:rsidRPr="004D7975" w:rsidRDefault="004F364B" w:rsidP="004F364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4D7975">
              <w:rPr>
                <w:rFonts w:ascii="Arial" w:hAnsi="Arial" w:cs="Arial"/>
                <w:sz w:val="20"/>
                <w:szCs w:val="20"/>
              </w:rPr>
              <w:t>Administración de vacuna equivocada</w:t>
            </w:r>
          </w:p>
          <w:p w14:paraId="0180BD58" w14:textId="77777777" w:rsidR="004F364B" w:rsidRPr="004D7975" w:rsidRDefault="004F364B" w:rsidP="00953530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2" w:type="dxa"/>
          </w:tcPr>
          <w:p w14:paraId="42EC84E0" w14:textId="77777777" w:rsidR="004F364B" w:rsidRPr="004D7975" w:rsidRDefault="004F364B" w:rsidP="004F364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4D7975">
              <w:rPr>
                <w:rFonts w:ascii="Arial" w:hAnsi="Arial" w:cs="Arial"/>
                <w:sz w:val="20"/>
                <w:szCs w:val="20"/>
              </w:rPr>
              <w:t>Reacción anafiláctica a la vacunación</w:t>
            </w:r>
          </w:p>
          <w:p w14:paraId="06B27027" w14:textId="77777777" w:rsidR="004F364B" w:rsidRPr="004D7975" w:rsidRDefault="004F364B" w:rsidP="00953530">
            <w:pPr>
              <w:pStyle w:val="Sinespaciad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364B" w14:paraId="799DA435" w14:textId="77777777" w:rsidTr="00953530">
        <w:tc>
          <w:tcPr>
            <w:tcW w:w="2553" w:type="dxa"/>
          </w:tcPr>
          <w:p w14:paraId="41173190" w14:textId="77777777" w:rsidR="004F364B" w:rsidRPr="006E0235" w:rsidRDefault="004F364B" w:rsidP="00953530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E0235">
              <w:rPr>
                <w:rFonts w:ascii="Arial" w:hAnsi="Arial" w:cs="Arial"/>
                <w:b/>
                <w:sz w:val="20"/>
                <w:szCs w:val="20"/>
              </w:rPr>
              <w:t>Farmacia</w:t>
            </w:r>
          </w:p>
        </w:tc>
        <w:tc>
          <w:tcPr>
            <w:tcW w:w="3430" w:type="dxa"/>
          </w:tcPr>
          <w:p w14:paraId="31D526C6" w14:textId="77777777" w:rsidR="004F364B" w:rsidRPr="006E0235" w:rsidRDefault="004F364B" w:rsidP="00953530">
            <w:pPr>
              <w:pStyle w:val="Sinespaciado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2" w:type="dxa"/>
          </w:tcPr>
          <w:p w14:paraId="593D3C04" w14:textId="77777777" w:rsidR="004F364B" w:rsidRPr="006E0235" w:rsidRDefault="004F364B" w:rsidP="004F364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6E0235">
              <w:rPr>
                <w:rFonts w:ascii="Arial" w:hAnsi="Arial" w:cs="Arial"/>
                <w:sz w:val="20"/>
                <w:szCs w:val="20"/>
              </w:rPr>
              <w:t>Error en la dispensación de fármaco a usuarios.</w:t>
            </w:r>
          </w:p>
          <w:p w14:paraId="1D34473D" w14:textId="77777777" w:rsidR="004F364B" w:rsidRPr="006E0235" w:rsidRDefault="004F364B" w:rsidP="00953530">
            <w:pPr>
              <w:pStyle w:val="Sinespaciado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364B" w14:paraId="3DCDBF69" w14:textId="77777777" w:rsidTr="00953530">
        <w:tc>
          <w:tcPr>
            <w:tcW w:w="2553" w:type="dxa"/>
          </w:tcPr>
          <w:p w14:paraId="2FB1762C" w14:textId="77777777" w:rsidR="004F364B" w:rsidRPr="006E0235" w:rsidRDefault="004F364B" w:rsidP="00953530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Dental</w:t>
            </w:r>
          </w:p>
        </w:tc>
        <w:tc>
          <w:tcPr>
            <w:tcW w:w="3430" w:type="dxa"/>
          </w:tcPr>
          <w:p w14:paraId="460F45A2" w14:textId="77777777" w:rsidR="004F364B" w:rsidRPr="006E0235" w:rsidRDefault="004F364B" w:rsidP="004F364B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6E0235">
              <w:rPr>
                <w:rFonts w:ascii="Arial" w:hAnsi="Arial" w:cs="Arial"/>
                <w:sz w:val="20"/>
                <w:szCs w:val="20"/>
              </w:rPr>
              <w:t>Error de pieza dentaria extraída</w:t>
            </w:r>
          </w:p>
        </w:tc>
        <w:tc>
          <w:tcPr>
            <w:tcW w:w="3232" w:type="dxa"/>
          </w:tcPr>
          <w:p w14:paraId="52EF34E9" w14:textId="77777777" w:rsidR="004F364B" w:rsidRPr="006E0235" w:rsidRDefault="004F364B" w:rsidP="004F364B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6E0235">
              <w:rPr>
                <w:rFonts w:ascii="Arial" w:hAnsi="Arial" w:cs="Arial"/>
                <w:sz w:val="20"/>
                <w:szCs w:val="20"/>
              </w:rPr>
              <w:t>Reacción anafiláctica</w:t>
            </w:r>
          </w:p>
        </w:tc>
      </w:tr>
      <w:tr w:rsidR="004F364B" w14:paraId="4506EB9E" w14:textId="77777777" w:rsidTr="00953530">
        <w:tc>
          <w:tcPr>
            <w:tcW w:w="2553" w:type="dxa"/>
          </w:tcPr>
          <w:p w14:paraId="19350726" w14:textId="77777777" w:rsidR="004F364B" w:rsidRPr="006E0235" w:rsidRDefault="004F364B" w:rsidP="00953530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Servicio de movilización</w:t>
            </w:r>
          </w:p>
        </w:tc>
        <w:tc>
          <w:tcPr>
            <w:tcW w:w="3430" w:type="dxa"/>
          </w:tcPr>
          <w:p w14:paraId="225FF4C7" w14:textId="77777777" w:rsidR="004F364B" w:rsidRPr="006E0235" w:rsidRDefault="004F364B" w:rsidP="004F364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6E0235">
              <w:rPr>
                <w:rFonts w:ascii="Arial" w:hAnsi="Arial" w:cs="Arial"/>
                <w:sz w:val="20"/>
                <w:szCs w:val="20"/>
              </w:rPr>
              <w:t>Traslado de usuario equivocado</w:t>
            </w:r>
          </w:p>
          <w:p w14:paraId="563E4411" w14:textId="77777777" w:rsidR="004F364B" w:rsidRPr="006E0235" w:rsidRDefault="004F364B" w:rsidP="00953530">
            <w:pPr>
              <w:pStyle w:val="Sinespaciado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2" w:type="dxa"/>
          </w:tcPr>
          <w:p w14:paraId="2DC62ED9" w14:textId="77777777" w:rsidR="004F364B" w:rsidRPr="006E0235" w:rsidRDefault="004F364B" w:rsidP="004F364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Caída de Usuario</w:t>
            </w:r>
          </w:p>
          <w:p w14:paraId="26FFF92D" w14:textId="77777777" w:rsidR="004F364B" w:rsidRPr="006E0235" w:rsidRDefault="004F364B" w:rsidP="00953530">
            <w:pPr>
              <w:pStyle w:val="Sinespaciado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364B" w14:paraId="75EB7D93" w14:textId="77777777" w:rsidTr="00953530">
        <w:tc>
          <w:tcPr>
            <w:tcW w:w="2553" w:type="dxa"/>
          </w:tcPr>
          <w:p w14:paraId="3589F60C" w14:textId="77777777" w:rsidR="004F364B" w:rsidRDefault="004F364B" w:rsidP="00953530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Laboratorio</w:t>
            </w:r>
          </w:p>
        </w:tc>
        <w:tc>
          <w:tcPr>
            <w:tcW w:w="3430" w:type="dxa"/>
          </w:tcPr>
          <w:p w14:paraId="08B1088C" w14:textId="77777777" w:rsidR="004F364B" w:rsidRPr="006E0235" w:rsidRDefault="004F364B" w:rsidP="004F364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Error de etiquetado</w:t>
            </w:r>
          </w:p>
        </w:tc>
        <w:tc>
          <w:tcPr>
            <w:tcW w:w="3232" w:type="dxa"/>
          </w:tcPr>
          <w:p w14:paraId="0AA1A2B4" w14:textId="77777777" w:rsidR="004F364B" w:rsidRDefault="004F364B" w:rsidP="00953530">
            <w:pPr>
              <w:pStyle w:val="Sinespaciado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63D545B" w14:textId="77777777" w:rsidR="004F364B" w:rsidRDefault="004F364B" w:rsidP="004F364B"/>
    <w:p w14:paraId="59DA0CE3" w14:textId="77777777" w:rsidR="004F364B" w:rsidRDefault="008A56EA" w:rsidP="008A56EA">
      <w:pPr>
        <w:jc w:val="both"/>
      </w:pPr>
      <w:r>
        <w:t xml:space="preserve">   </w:t>
      </w:r>
      <w:r w:rsidR="004F364B">
        <w:t>El sistema de vigilancia actual es de tipo pasivo, robustecido mediante la notificación de carácter no punitivo, centrado en la mejora de procesos, considerando además los reclamos emanados desde OIRS.</w:t>
      </w:r>
    </w:p>
    <w:p w14:paraId="1D2D3489" w14:textId="77777777" w:rsidR="004F364B" w:rsidRDefault="004F364B" w:rsidP="004F364B">
      <w:pPr>
        <w:pStyle w:val="Prrafodelista"/>
        <w:numPr>
          <w:ilvl w:val="0"/>
          <w:numId w:val="2"/>
        </w:numPr>
        <w:rPr>
          <w:b/>
        </w:rPr>
      </w:pPr>
      <w:r w:rsidRPr="004F364B">
        <w:rPr>
          <w:b/>
        </w:rPr>
        <w:t>Análisis de eventos adversos.-</w:t>
      </w:r>
    </w:p>
    <w:p w14:paraId="6A453DF7" w14:textId="06B77158" w:rsidR="004F364B" w:rsidRDefault="004F364B" w:rsidP="004F364B">
      <w:r>
        <w:t xml:space="preserve">A continuación se presenta tabla resumen de eventos declarados </w:t>
      </w:r>
      <w:r w:rsidR="007C7FFB">
        <w:t>de Enero a Diciembre de 202</w:t>
      </w:r>
      <w:r w:rsidR="004F3654">
        <w:t>4</w:t>
      </w:r>
      <w:r>
        <w:t>:</w:t>
      </w:r>
    </w:p>
    <w:p w14:paraId="272F3AFE" w14:textId="5B879802" w:rsidR="004F364B" w:rsidRDefault="007C7FFB" w:rsidP="007C7FFB">
      <w:pPr>
        <w:pStyle w:val="Prrafodelista"/>
        <w:numPr>
          <w:ilvl w:val="0"/>
          <w:numId w:val="1"/>
        </w:numPr>
        <w:jc w:val="both"/>
      </w:pPr>
      <w:r>
        <w:t>Durante el periodo no se declaran eventos adversos a nivel institucional.</w:t>
      </w:r>
    </w:p>
    <w:p w14:paraId="3A52DA04" w14:textId="77777777" w:rsidR="008A56EA" w:rsidRPr="004F364B" w:rsidRDefault="008A56EA" w:rsidP="008A56EA">
      <w:pPr>
        <w:jc w:val="right"/>
      </w:pPr>
      <w:r>
        <w:rPr>
          <w:noProof/>
          <w:lang w:eastAsia="es-CL"/>
        </w:rPr>
        <w:drawing>
          <wp:inline distT="0" distB="0" distL="0" distR="0" wp14:anchorId="17828E71" wp14:editId="069F475E">
            <wp:extent cx="3296516" cy="12858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3306" cy="128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6EA" w:rsidRPr="004F36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B3CDF"/>
    <w:multiLevelType w:val="hybridMultilevel"/>
    <w:tmpl w:val="62060966"/>
    <w:lvl w:ilvl="0" w:tplc="3438BC0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30DA0"/>
    <w:multiLevelType w:val="hybridMultilevel"/>
    <w:tmpl w:val="7188EFD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893714">
    <w:abstractNumId w:val="0"/>
  </w:num>
  <w:num w:numId="2" w16cid:durableId="83237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64B"/>
    <w:rsid w:val="003124AB"/>
    <w:rsid w:val="0039060E"/>
    <w:rsid w:val="004F364B"/>
    <w:rsid w:val="004F3654"/>
    <w:rsid w:val="006C22B4"/>
    <w:rsid w:val="007C7FFB"/>
    <w:rsid w:val="008A56EA"/>
    <w:rsid w:val="008B26B8"/>
    <w:rsid w:val="0090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658FA"/>
  <w15:chartTrackingRefBased/>
  <w15:docId w15:val="{4C4B5716-F95F-465B-9DD2-B879B105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364B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4F364B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F36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Cardenas Espinoza</cp:lastModifiedBy>
  <cp:revision>4</cp:revision>
  <dcterms:created xsi:type="dcterms:W3CDTF">2024-04-19T21:56:00Z</dcterms:created>
  <dcterms:modified xsi:type="dcterms:W3CDTF">2026-01-20T11:53:00Z</dcterms:modified>
</cp:coreProperties>
</file>