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5BA" w:rsidRPr="00EC30FD" w:rsidRDefault="005E413E" w:rsidP="00EC30FD">
      <w:pPr>
        <w:jc w:val="center"/>
        <w:rPr>
          <w:sz w:val="40"/>
        </w:rPr>
      </w:pPr>
      <w:bookmarkStart w:id="0" w:name="_GoBack"/>
      <w:bookmarkEnd w:id="0"/>
      <w:r w:rsidRPr="00EC30FD">
        <w:rPr>
          <w:sz w:val="40"/>
        </w:rPr>
        <w:t>STB</w:t>
      </w:r>
      <w:r w:rsidR="00D73083">
        <w:rPr>
          <w:sz w:val="40"/>
        </w:rPr>
        <w:t xml:space="preserve"> PokemonMaster</w:t>
      </w:r>
    </w:p>
    <w:p w:rsidR="00EC30FD" w:rsidRDefault="00EC30F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1"/>
        <w:gridCol w:w="2313"/>
        <w:gridCol w:w="3727"/>
        <w:gridCol w:w="897"/>
        <w:gridCol w:w="1124"/>
      </w:tblGrid>
      <w:tr w:rsidR="00782B1B" w:rsidTr="00EC30FD">
        <w:tc>
          <w:tcPr>
            <w:tcW w:w="0" w:type="auto"/>
          </w:tcPr>
          <w:p w:rsidR="004660AB" w:rsidRDefault="00F60A9A">
            <w:r>
              <w:t>E</w:t>
            </w:r>
            <w:r w:rsidR="009653B2">
              <w:t>xigence</w:t>
            </w:r>
          </w:p>
        </w:tc>
        <w:tc>
          <w:tcPr>
            <w:tcW w:w="0" w:type="auto"/>
          </w:tcPr>
          <w:p w:rsidR="004660AB" w:rsidRDefault="004660AB">
            <w:r>
              <w:t>Intitulé</w:t>
            </w:r>
          </w:p>
        </w:tc>
        <w:tc>
          <w:tcPr>
            <w:tcW w:w="0" w:type="auto"/>
          </w:tcPr>
          <w:p w:rsidR="004660AB" w:rsidRDefault="004660AB">
            <w:r>
              <w:t>Description</w:t>
            </w:r>
          </w:p>
        </w:tc>
        <w:tc>
          <w:tcPr>
            <w:tcW w:w="0" w:type="auto"/>
            <w:vAlign w:val="center"/>
          </w:tcPr>
          <w:p w:rsidR="004660AB" w:rsidRDefault="00980BB4" w:rsidP="00EC30FD">
            <w:pPr>
              <w:jc w:val="center"/>
            </w:pPr>
            <w:r>
              <w:t>I/A/D/T</w:t>
            </w:r>
          </w:p>
        </w:tc>
        <w:tc>
          <w:tcPr>
            <w:tcW w:w="0" w:type="auto"/>
          </w:tcPr>
          <w:p w:rsidR="004660AB" w:rsidRDefault="00980BB4">
            <w:r>
              <w:t>Validation</w:t>
            </w:r>
          </w:p>
        </w:tc>
      </w:tr>
      <w:tr w:rsidR="00782B1B" w:rsidTr="00EC30FD">
        <w:tc>
          <w:tcPr>
            <w:tcW w:w="0" w:type="auto"/>
          </w:tcPr>
          <w:p w:rsidR="008C096D" w:rsidRDefault="00CE6C8B" w:rsidP="00D3705A">
            <w:r>
              <w:t>[E010]</w:t>
            </w:r>
          </w:p>
        </w:tc>
        <w:tc>
          <w:tcPr>
            <w:tcW w:w="0" w:type="auto"/>
          </w:tcPr>
          <w:p w:rsidR="008C096D" w:rsidRDefault="008C096D" w:rsidP="00D3705A">
            <w:r>
              <w:t>Constitution</w:t>
            </w:r>
          </w:p>
        </w:tc>
        <w:tc>
          <w:tcPr>
            <w:tcW w:w="0" w:type="auto"/>
          </w:tcPr>
          <w:p w:rsidR="008C096D" w:rsidRDefault="008C096D" w:rsidP="00D3705A">
            <w:r>
              <w:t>Le logiciel doit être constitué de :</w:t>
            </w:r>
          </w:p>
          <w:p w:rsidR="008C096D" w:rsidRDefault="006760C7" w:rsidP="006760C7">
            <w:pPr>
              <w:pStyle w:val="Paragraphedeliste"/>
              <w:numPr>
                <w:ilvl w:val="0"/>
                <w:numId w:val="1"/>
              </w:numPr>
            </w:pPr>
            <w:r>
              <w:t>Une base de données</w:t>
            </w:r>
          </w:p>
          <w:p w:rsidR="006760C7" w:rsidRDefault="006760C7" w:rsidP="006760C7">
            <w:pPr>
              <w:pStyle w:val="Paragraphedeliste"/>
              <w:numPr>
                <w:ilvl w:val="0"/>
                <w:numId w:val="1"/>
              </w:numPr>
            </w:pPr>
            <w:r>
              <w:t>Un gestionnaire de base</w:t>
            </w:r>
          </w:p>
          <w:p w:rsidR="006D40B5" w:rsidRDefault="006D40B5" w:rsidP="006760C7">
            <w:pPr>
              <w:pStyle w:val="Paragraphedeliste"/>
              <w:numPr>
                <w:ilvl w:val="0"/>
                <w:numId w:val="1"/>
              </w:numPr>
            </w:pPr>
            <w:r>
              <w:t>Un générateur de commandes SQL</w:t>
            </w:r>
          </w:p>
          <w:p w:rsidR="006760C7" w:rsidRDefault="006760C7" w:rsidP="006760C7">
            <w:pPr>
              <w:pStyle w:val="Paragraphedeliste"/>
              <w:numPr>
                <w:ilvl w:val="0"/>
                <w:numId w:val="1"/>
              </w:numPr>
            </w:pPr>
            <w:r>
              <w:t>Un interpréteur de commandes SQL</w:t>
            </w:r>
          </w:p>
          <w:p w:rsidR="006760C7" w:rsidRDefault="006760C7" w:rsidP="006760C7">
            <w:pPr>
              <w:pStyle w:val="Paragraphedeliste"/>
              <w:numPr>
                <w:ilvl w:val="0"/>
                <w:numId w:val="1"/>
              </w:numPr>
            </w:pPr>
            <w:r>
              <w:t>Une IHM</w:t>
            </w:r>
          </w:p>
        </w:tc>
        <w:tc>
          <w:tcPr>
            <w:tcW w:w="0" w:type="auto"/>
            <w:vAlign w:val="center"/>
          </w:tcPr>
          <w:p w:rsidR="008C096D" w:rsidRDefault="00BF262D" w:rsidP="00EC30FD">
            <w:pPr>
              <w:jc w:val="center"/>
            </w:pPr>
            <w:r>
              <w:t>I</w:t>
            </w:r>
          </w:p>
        </w:tc>
        <w:tc>
          <w:tcPr>
            <w:tcW w:w="0" w:type="auto"/>
          </w:tcPr>
          <w:p w:rsidR="008C096D" w:rsidRDefault="008C096D" w:rsidP="00D3705A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[E011]</w:t>
            </w:r>
          </w:p>
        </w:tc>
        <w:tc>
          <w:tcPr>
            <w:tcW w:w="0" w:type="auto"/>
          </w:tcPr>
          <w:p w:rsidR="00DB10D9" w:rsidRDefault="00DB10D9" w:rsidP="00DB10D9">
            <w:r>
              <w:t>Base de données</w:t>
            </w:r>
          </w:p>
        </w:tc>
        <w:tc>
          <w:tcPr>
            <w:tcW w:w="0" w:type="auto"/>
          </w:tcPr>
          <w:p w:rsidR="00DB10D9" w:rsidRDefault="00DB10D9" w:rsidP="00DB10D9">
            <w:r>
              <w:t xml:space="preserve">La base de données doit être constituée de </w:t>
            </w:r>
            <w:r w:rsidRPr="006D40B5">
              <w:rPr>
                <w:highlight w:val="yellow"/>
              </w:rPr>
              <w:t>n</w:t>
            </w:r>
            <w:r>
              <w:t xml:space="preserve"> fichiers (</w:t>
            </w:r>
            <w:r w:rsidRPr="006D40B5">
              <w:rPr>
                <w:highlight w:val="yellow"/>
              </w:rPr>
              <w:t>bin ou txt</w:t>
            </w:r>
            <w:r>
              <w:t>).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I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[E020]</w:t>
            </w:r>
          </w:p>
        </w:tc>
        <w:tc>
          <w:tcPr>
            <w:tcW w:w="0" w:type="auto"/>
          </w:tcPr>
          <w:p w:rsidR="00DB10D9" w:rsidRDefault="00DB10D9" w:rsidP="00DB10D9">
            <w:r>
              <w:t>Langage de programmation - choix</w:t>
            </w:r>
          </w:p>
        </w:tc>
        <w:tc>
          <w:tcPr>
            <w:tcW w:w="0" w:type="auto"/>
          </w:tcPr>
          <w:p w:rsidR="00DB10D9" w:rsidRDefault="00DB10D9" w:rsidP="00DB10D9">
            <w:r>
              <w:t>Le programme doit être codé en langage C.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I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[E030]</w:t>
            </w:r>
          </w:p>
        </w:tc>
        <w:tc>
          <w:tcPr>
            <w:tcW w:w="0" w:type="auto"/>
          </w:tcPr>
          <w:p w:rsidR="00DB10D9" w:rsidRDefault="00DB10D9" w:rsidP="00DB10D9">
            <w:r>
              <w:t>Langage de programmation - règles de codage</w:t>
            </w:r>
          </w:p>
        </w:tc>
        <w:tc>
          <w:tcPr>
            <w:tcW w:w="0" w:type="auto"/>
          </w:tcPr>
          <w:p w:rsidR="00DB10D9" w:rsidRDefault="00DB10D9" w:rsidP="00DB10D9">
            <w:r>
              <w:t xml:space="preserve">La programmation doit être conforme aux règles de codage définies dans le fichier </w:t>
            </w:r>
            <w:r w:rsidRPr="00D22546">
              <w:rPr>
                <w:highlight w:val="yellow"/>
              </w:rPr>
              <w:t>« règles de codage »</w:t>
            </w:r>
            <w:r>
              <w:rPr>
                <w:highlight w:val="yellow"/>
              </w:rPr>
              <w:t>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[E040]</w:t>
            </w:r>
          </w:p>
        </w:tc>
        <w:tc>
          <w:tcPr>
            <w:tcW w:w="0" w:type="auto"/>
          </w:tcPr>
          <w:p w:rsidR="00DB10D9" w:rsidRDefault="00DB10D9" w:rsidP="00DB10D9">
            <w:r>
              <w:t>Langage de programmation – documentation</w:t>
            </w:r>
          </w:p>
        </w:tc>
        <w:tc>
          <w:tcPr>
            <w:tcW w:w="0" w:type="auto"/>
          </w:tcPr>
          <w:p w:rsidR="00DB10D9" w:rsidRDefault="00DB10D9" w:rsidP="00DB10D9">
            <w:r>
              <w:t>Le code doit être commenté pour la génération de la documentation.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I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[E050]</w:t>
            </w:r>
          </w:p>
        </w:tc>
        <w:tc>
          <w:tcPr>
            <w:tcW w:w="0" w:type="auto"/>
          </w:tcPr>
          <w:p w:rsidR="00DB10D9" w:rsidRDefault="00DB10D9" w:rsidP="00DB10D9">
            <w:r>
              <w:t xml:space="preserve">Documentation – </w:t>
            </w:r>
            <w:proofErr w:type="spellStart"/>
            <w:r>
              <w:t>Doxygen</w:t>
            </w:r>
            <w:proofErr w:type="spellEnd"/>
          </w:p>
        </w:tc>
        <w:tc>
          <w:tcPr>
            <w:tcW w:w="0" w:type="auto"/>
          </w:tcPr>
          <w:p w:rsidR="00DB10D9" w:rsidRDefault="00DB10D9" w:rsidP="00DB10D9">
            <w:r>
              <w:t xml:space="preserve">La documentation doit être générée depuis </w:t>
            </w:r>
            <w:proofErr w:type="spellStart"/>
            <w:r>
              <w:t>Doxygen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[E060]</w:t>
            </w:r>
          </w:p>
        </w:tc>
        <w:tc>
          <w:tcPr>
            <w:tcW w:w="0" w:type="auto"/>
          </w:tcPr>
          <w:p w:rsidR="00DB10D9" w:rsidRDefault="00DB10D9" w:rsidP="00DB10D9">
            <w:r>
              <w:t>Contrôle du code</w:t>
            </w:r>
          </w:p>
        </w:tc>
        <w:tc>
          <w:tcPr>
            <w:tcW w:w="0" w:type="auto"/>
          </w:tcPr>
          <w:p w:rsidR="00DB10D9" w:rsidRDefault="00DB10D9" w:rsidP="00DB10D9">
            <w:r>
              <w:t>Le code ne doit pas générer d’erreur lors du contrôle « </w:t>
            </w:r>
            <w:proofErr w:type="spellStart"/>
            <w:r>
              <w:t>Valgrind</w:t>
            </w:r>
            <w:proofErr w:type="spellEnd"/>
            <w:r>
              <w:t> ».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[E070]</w:t>
            </w:r>
          </w:p>
        </w:tc>
        <w:tc>
          <w:tcPr>
            <w:tcW w:w="0" w:type="auto"/>
          </w:tcPr>
          <w:p w:rsidR="00DB10D9" w:rsidRDefault="00DB10D9" w:rsidP="00DB10D9">
            <w:proofErr w:type="spellStart"/>
            <w:r>
              <w:t>Makefile</w:t>
            </w:r>
            <w:proofErr w:type="spellEnd"/>
          </w:p>
        </w:tc>
        <w:tc>
          <w:tcPr>
            <w:tcW w:w="0" w:type="auto"/>
          </w:tcPr>
          <w:p w:rsidR="00DB10D9" w:rsidRDefault="00DB10D9" w:rsidP="00DB10D9">
            <w:r>
              <w:t xml:space="preserve">La compilation du programme constitué de tous ses fichiers « .c » et « .h » associés doit être réalisée par un ou plusieurs </w:t>
            </w:r>
            <w:proofErr w:type="spellStart"/>
            <w:r>
              <w:t>Makefile</w:t>
            </w:r>
            <w:proofErr w:type="spellEnd"/>
            <w:r>
              <w:t>(s).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[E080]</w:t>
            </w:r>
          </w:p>
        </w:tc>
        <w:tc>
          <w:tcPr>
            <w:tcW w:w="0" w:type="auto"/>
          </w:tcPr>
          <w:p w:rsidR="00DB10D9" w:rsidRDefault="00DB10D9" w:rsidP="00DB10D9">
            <w:r>
              <w:t>Langage de communication</w:t>
            </w:r>
          </w:p>
        </w:tc>
        <w:tc>
          <w:tcPr>
            <w:tcW w:w="0" w:type="auto"/>
          </w:tcPr>
          <w:p w:rsidR="00DB10D9" w:rsidRDefault="00DB10D9" w:rsidP="00DB10D9">
            <w:r>
              <w:t>Le logiciel doit exploiter le langage SQL.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I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[E090]</w:t>
            </w:r>
          </w:p>
        </w:tc>
        <w:tc>
          <w:tcPr>
            <w:tcW w:w="0" w:type="auto"/>
          </w:tcPr>
          <w:p w:rsidR="00DB10D9" w:rsidRDefault="00DB10D9" w:rsidP="00DB10D9">
            <w:r>
              <w:t>Environnement de fonctionnement</w:t>
            </w:r>
          </w:p>
        </w:tc>
        <w:tc>
          <w:tcPr>
            <w:tcW w:w="0" w:type="auto"/>
          </w:tcPr>
          <w:p w:rsidR="00DB10D9" w:rsidRDefault="00DB10D9" w:rsidP="00DB10D9">
            <w:r>
              <w:t>Le logiciel doit exploiter la console Linux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[E100]</w:t>
            </w:r>
          </w:p>
        </w:tc>
        <w:tc>
          <w:tcPr>
            <w:tcW w:w="0" w:type="auto"/>
          </w:tcPr>
          <w:p w:rsidR="00DB10D9" w:rsidRDefault="00DB10D9" w:rsidP="00DB10D9">
            <w:r>
              <w:t>IHM – menu utilisateur</w:t>
            </w:r>
          </w:p>
        </w:tc>
        <w:tc>
          <w:tcPr>
            <w:tcW w:w="0" w:type="auto"/>
          </w:tcPr>
          <w:p w:rsidR="00DB10D9" w:rsidRDefault="00DB10D9" w:rsidP="00DB10D9">
            <w:r>
              <w:t>L’IHM doit présenter les différents cas d’usage du logiciel sous la forme de menu.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[E110]</w:t>
            </w:r>
          </w:p>
        </w:tc>
        <w:tc>
          <w:tcPr>
            <w:tcW w:w="0" w:type="auto"/>
          </w:tcPr>
          <w:p w:rsidR="00DB10D9" w:rsidRDefault="00DB10D9" w:rsidP="00DB10D9">
            <w:r>
              <w:t>IHM – Saisie sécurisée</w:t>
            </w:r>
          </w:p>
        </w:tc>
        <w:tc>
          <w:tcPr>
            <w:tcW w:w="0" w:type="auto"/>
          </w:tcPr>
          <w:p w:rsidR="00DB10D9" w:rsidRDefault="00DB10D9" w:rsidP="00DB10D9">
            <w:r>
              <w:t>Les données saisies par l’utilisateur au clavier doivent être contrôlées par l’IHM.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[E120]</w:t>
            </w:r>
          </w:p>
        </w:tc>
        <w:tc>
          <w:tcPr>
            <w:tcW w:w="0" w:type="auto"/>
          </w:tcPr>
          <w:p w:rsidR="00DB10D9" w:rsidRDefault="00DB10D9" w:rsidP="00DB10D9">
            <w:r>
              <w:t>IHM – affichage données</w:t>
            </w:r>
          </w:p>
        </w:tc>
        <w:tc>
          <w:tcPr>
            <w:tcW w:w="0" w:type="auto"/>
          </w:tcPr>
          <w:p w:rsidR="00DB10D9" w:rsidRDefault="00DB10D9" w:rsidP="00DB10D9">
            <w:r>
              <w:t xml:space="preserve">L’IHM doit mettre en forme et afficher les données reçues </w:t>
            </w:r>
            <w:r w:rsidRPr="002062B4">
              <w:rPr>
                <w:highlight w:val="yellow"/>
              </w:rPr>
              <w:t>sous forme de structure</w:t>
            </w:r>
            <w:r>
              <w:t xml:space="preserve"> depuis le gestionnaire de base.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8669E4">
        <w:tc>
          <w:tcPr>
            <w:tcW w:w="0" w:type="auto"/>
          </w:tcPr>
          <w:p w:rsidR="00DB10D9" w:rsidRDefault="00DB10D9" w:rsidP="00DB10D9">
            <w:r>
              <w:t>[E200]</w:t>
            </w:r>
          </w:p>
        </w:tc>
        <w:tc>
          <w:tcPr>
            <w:tcW w:w="2313" w:type="dxa"/>
          </w:tcPr>
          <w:p w:rsidR="00DB10D9" w:rsidRDefault="00DB10D9" w:rsidP="00DB10D9">
            <w:r>
              <w:t>Générateur de commandes SQL – format des données</w:t>
            </w:r>
          </w:p>
        </w:tc>
        <w:tc>
          <w:tcPr>
            <w:tcW w:w="3727" w:type="dxa"/>
          </w:tcPr>
          <w:p w:rsidR="00DB10D9" w:rsidRDefault="00DB10D9" w:rsidP="00DB10D9">
            <w:r>
              <w:t>Les données reçues depuis l’IHM par le générateur de commandes doivent être sous la forme de d’une structure.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8669E4">
        <w:tc>
          <w:tcPr>
            <w:tcW w:w="0" w:type="auto"/>
          </w:tcPr>
          <w:p w:rsidR="00DB10D9" w:rsidRDefault="00DB10D9" w:rsidP="00DB10D9">
            <w:r>
              <w:lastRenderedPageBreak/>
              <w:t>[E210]</w:t>
            </w:r>
          </w:p>
        </w:tc>
        <w:tc>
          <w:tcPr>
            <w:tcW w:w="2313" w:type="dxa"/>
          </w:tcPr>
          <w:p w:rsidR="00DB10D9" w:rsidRDefault="00DB10D9" w:rsidP="00DB10D9">
            <w:r>
              <w:t>Générateur de commandes SQL – création des requêtes SQL</w:t>
            </w:r>
          </w:p>
        </w:tc>
        <w:tc>
          <w:tcPr>
            <w:tcW w:w="3727" w:type="dxa"/>
          </w:tcPr>
          <w:p w:rsidR="00DB10D9" w:rsidRDefault="00DB10D9" w:rsidP="00DB10D9">
            <w:r>
              <w:t>Le générateur de commandes SQL doit créer une requête SQL à partir des données reçues.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8669E4">
        <w:tc>
          <w:tcPr>
            <w:tcW w:w="0" w:type="auto"/>
          </w:tcPr>
          <w:p w:rsidR="00DB10D9" w:rsidRDefault="00DB10D9" w:rsidP="00DB10D9">
            <w:r>
              <w:t>[E220]</w:t>
            </w:r>
          </w:p>
        </w:tc>
        <w:tc>
          <w:tcPr>
            <w:tcW w:w="2313" w:type="dxa"/>
          </w:tcPr>
          <w:p w:rsidR="00DB10D9" w:rsidRDefault="00DB10D9" w:rsidP="00DB10D9">
            <w:r>
              <w:t>Générateur de commandes SQL – Transmission des requêtes SQL</w:t>
            </w:r>
          </w:p>
        </w:tc>
        <w:tc>
          <w:tcPr>
            <w:tcW w:w="3727" w:type="dxa"/>
          </w:tcPr>
          <w:p w:rsidR="00DB10D9" w:rsidRDefault="00DB10D9" w:rsidP="00DB10D9">
            <w:r>
              <w:t xml:space="preserve">Le générateur de commandes SQL doit transmettre la requête SQL à l’interpréteur de commandes SQL. 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[E300]</w:t>
            </w:r>
          </w:p>
        </w:tc>
        <w:tc>
          <w:tcPr>
            <w:tcW w:w="0" w:type="auto"/>
          </w:tcPr>
          <w:p w:rsidR="00DB10D9" w:rsidRDefault="00DB10D9" w:rsidP="00DB10D9">
            <w:r>
              <w:t>Interpréteur de commandes SQL – intégrité des requêtes SQL</w:t>
            </w:r>
          </w:p>
        </w:tc>
        <w:tc>
          <w:tcPr>
            <w:tcW w:w="0" w:type="auto"/>
          </w:tcPr>
          <w:p w:rsidR="00DB10D9" w:rsidRDefault="00DB10D9" w:rsidP="00DB10D9">
            <w:r>
              <w:t>L’interpréteur de commandes SQL doit assurer le contrôle de l’intégrité des requêtes SQL reçues depuis le générateur de commande SQL.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[E310]</w:t>
            </w:r>
          </w:p>
        </w:tc>
        <w:tc>
          <w:tcPr>
            <w:tcW w:w="0" w:type="auto"/>
          </w:tcPr>
          <w:p w:rsidR="00DB10D9" w:rsidRDefault="00DB10D9" w:rsidP="00DB10D9">
            <w:r>
              <w:t>Interpréteur de commandes SQL – Mot d’état retour</w:t>
            </w:r>
          </w:p>
        </w:tc>
        <w:tc>
          <w:tcPr>
            <w:tcW w:w="0" w:type="auto"/>
          </w:tcPr>
          <w:p w:rsidR="00DB10D9" w:rsidRDefault="00DB10D9" w:rsidP="00DB10D9">
            <w:r>
              <w:t>L’interpréteur de commandes SQL doit renvoyer, vers le générateur de commandes, un mot d’état :</w:t>
            </w:r>
          </w:p>
          <w:p w:rsidR="00DB10D9" w:rsidRDefault="00DB10D9" w:rsidP="00DB10D9">
            <w:pPr>
              <w:pStyle w:val="Paragraphedeliste"/>
              <w:numPr>
                <w:ilvl w:val="0"/>
                <w:numId w:val="1"/>
              </w:numPr>
            </w:pPr>
            <w:r>
              <w:t>0 = requête conforme</w:t>
            </w:r>
          </w:p>
          <w:p w:rsidR="00DB10D9" w:rsidRDefault="00DB10D9" w:rsidP="00DB10D9">
            <w:pPr>
              <w:pStyle w:val="Paragraphedeliste"/>
              <w:numPr>
                <w:ilvl w:val="0"/>
                <w:numId w:val="1"/>
              </w:numPr>
            </w:pPr>
            <w:r>
              <w:t>1 = requête non conforme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[E320]</w:t>
            </w:r>
          </w:p>
        </w:tc>
        <w:tc>
          <w:tcPr>
            <w:tcW w:w="0" w:type="auto"/>
          </w:tcPr>
          <w:p w:rsidR="00DB10D9" w:rsidRDefault="00DB10D9" w:rsidP="00DB10D9">
            <w:r>
              <w:t>Interpréteur de commandes SQL – transmission des requêtes</w:t>
            </w:r>
          </w:p>
        </w:tc>
        <w:tc>
          <w:tcPr>
            <w:tcW w:w="0" w:type="auto"/>
          </w:tcPr>
          <w:p w:rsidR="00DB10D9" w:rsidRDefault="00DB10D9" w:rsidP="00DB10D9">
            <w:r>
              <w:t>L’interpréteur de commandes SQL doit transmettre la requête sous forme de structure au gestionnaire de base.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[E400]</w:t>
            </w:r>
          </w:p>
        </w:tc>
        <w:tc>
          <w:tcPr>
            <w:tcW w:w="0" w:type="auto"/>
          </w:tcPr>
          <w:p w:rsidR="00DB10D9" w:rsidRDefault="00DB10D9" w:rsidP="00DB10D9">
            <w:r>
              <w:t>Gestionnaire de base – Accès à la base de données</w:t>
            </w:r>
          </w:p>
        </w:tc>
        <w:tc>
          <w:tcPr>
            <w:tcW w:w="0" w:type="auto"/>
          </w:tcPr>
          <w:p w:rsidR="00DB10D9" w:rsidRDefault="00DB10D9" w:rsidP="00DB10D9">
            <w:r>
              <w:t>Le gestionnaire de base doit garantir l’intégrité de la base de données lors de sa manipulation.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[E410]</w:t>
            </w:r>
          </w:p>
        </w:tc>
        <w:tc>
          <w:tcPr>
            <w:tcW w:w="0" w:type="auto"/>
          </w:tcPr>
          <w:p w:rsidR="00DB10D9" w:rsidRDefault="00DB10D9" w:rsidP="00DB10D9">
            <w:r>
              <w:t>Gestionnaire de base – Ecriture de la base de données</w:t>
            </w:r>
          </w:p>
        </w:tc>
        <w:tc>
          <w:tcPr>
            <w:tcW w:w="0" w:type="auto"/>
          </w:tcPr>
          <w:p w:rsidR="00DB10D9" w:rsidRDefault="00DB10D9" w:rsidP="00DB10D9">
            <w:r>
              <w:t>Le gestionnaire de base de données doit assurer l’écriture, dans la base, des données reçues depuis l’interpréteur de commandes SQL.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>
            <w:r>
              <w:t>[E420]</w:t>
            </w:r>
          </w:p>
        </w:tc>
        <w:tc>
          <w:tcPr>
            <w:tcW w:w="0" w:type="auto"/>
          </w:tcPr>
          <w:p w:rsidR="00DB10D9" w:rsidRDefault="00DB10D9" w:rsidP="00DB10D9">
            <w:r>
              <w:t>Gestionnaire de base – Lecture de la base de données</w:t>
            </w:r>
          </w:p>
        </w:tc>
        <w:tc>
          <w:tcPr>
            <w:tcW w:w="0" w:type="auto"/>
          </w:tcPr>
          <w:p w:rsidR="00DB10D9" w:rsidRDefault="00DB10D9" w:rsidP="00DB10D9">
            <w:r>
              <w:t>Le gestionnaire de base de données doit assurer la lecture et la transmission des données demandées vers l’IHM.</w:t>
            </w: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  <w:r>
              <w:t>D</w:t>
            </w: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0678E0"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EC30FD"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8669E4">
        <w:tc>
          <w:tcPr>
            <w:tcW w:w="0" w:type="auto"/>
          </w:tcPr>
          <w:p w:rsidR="00DB10D9" w:rsidRDefault="00DB10D9" w:rsidP="00DB10D9"/>
        </w:tc>
        <w:tc>
          <w:tcPr>
            <w:tcW w:w="2313" w:type="dxa"/>
          </w:tcPr>
          <w:p w:rsidR="00DB10D9" w:rsidRDefault="00DB10D9" w:rsidP="00DB10D9"/>
        </w:tc>
        <w:tc>
          <w:tcPr>
            <w:tcW w:w="3727" w:type="dxa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8669E4">
        <w:tc>
          <w:tcPr>
            <w:tcW w:w="0" w:type="auto"/>
          </w:tcPr>
          <w:p w:rsidR="00DB10D9" w:rsidRDefault="00DB10D9" w:rsidP="00DB10D9"/>
        </w:tc>
        <w:tc>
          <w:tcPr>
            <w:tcW w:w="2313" w:type="dxa"/>
          </w:tcPr>
          <w:p w:rsidR="00DB10D9" w:rsidRDefault="00DB10D9" w:rsidP="00DB10D9"/>
        </w:tc>
        <w:tc>
          <w:tcPr>
            <w:tcW w:w="3727" w:type="dxa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8669E4">
        <w:tc>
          <w:tcPr>
            <w:tcW w:w="0" w:type="auto"/>
          </w:tcPr>
          <w:p w:rsidR="00DB10D9" w:rsidRDefault="00DB10D9" w:rsidP="00DB10D9"/>
        </w:tc>
        <w:tc>
          <w:tcPr>
            <w:tcW w:w="2313" w:type="dxa"/>
          </w:tcPr>
          <w:p w:rsidR="00DB10D9" w:rsidRDefault="00DB10D9" w:rsidP="00DB10D9"/>
        </w:tc>
        <w:tc>
          <w:tcPr>
            <w:tcW w:w="3727" w:type="dxa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8669E4">
        <w:tc>
          <w:tcPr>
            <w:tcW w:w="0" w:type="auto"/>
          </w:tcPr>
          <w:p w:rsidR="00DB10D9" w:rsidRDefault="00DB10D9" w:rsidP="00DB10D9"/>
        </w:tc>
        <w:tc>
          <w:tcPr>
            <w:tcW w:w="2313" w:type="dxa"/>
          </w:tcPr>
          <w:p w:rsidR="00DB10D9" w:rsidRDefault="00DB10D9" w:rsidP="00DB10D9"/>
        </w:tc>
        <w:tc>
          <w:tcPr>
            <w:tcW w:w="3727" w:type="dxa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8669E4">
        <w:tc>
          <w:tcPr>
            <w:tcW w:w="0" w:type="auto"/>
          </w:tcPr>
          <w:p w:rsidR="00DB10D9" w:rsidRDefault="00DB10D9" w:rsidP="00DB10D9"/>
        </w:tc>
        <w:tc>
          <w:tcPr>
            <w:tcW w:w="2313" w:type="dxa"/>
          </w:tcPr>
          <w:p w:rsidR="00DB10D9" w:rsidRDefault="00DB10D9" w:rsidP="00DB10D9"/>
        </w:tc>
        <w:tc>
          <w:tcPr>
            <w:tcW w:w="3727" w:type="dxa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  <w:tr w:rsidR="00DB10D9" w:rsidTr="008669E4">
        <w:tc>
          <w:tcPr>
            <w:tcW w:w="0" w:type="auto"/>
          </w:tcPr>
          <w:p w:rsidR="00DB10D9" w:rsidRDefault="00DB10D9" w:rsidP="00DB10D9"/>
        </w:tc>
        <w:tc>
          <w:tcPr>
            <w:tcW w:w="2313" w:type="dxa"/>
          </w:tcPr>
          <w:p w:rsidR="00DB10D9" w:rsidRDefault="00DB10D9" w:rsidP="00DB10D9"/>
        </w:tc>
        <w:tc>
          <w:tcPr>
            <w:tcW w:w="3727" w:type="dxa"/>
          </w:tcPr>
          <w:p w:rsidR="00DB10D9" w:rsidRDefault="00DB10D9" w:rsidP="00DB10D9"/>
        </w:tc>
        <w:tc>
          <w:tcPr>
            <w:tcW w:w="0" w:type="auto"/>
            <w:vAlign w:val="center"/>
          </w:tcPr>
          <w:p w:rsidR="00DB10D9" w:rsidRDefault="00DB10D9" w:rsidP="00DB10D9">
            <w:pPr>
              <w:jc w:val="center"/>
            </w:pPr>
          </w:p>
        </w:tc>
        <w:tc>
          <w:tcPr>
            <w:tcW w:w="0" w:type="auto"/>
          </w:tcPr>
          <w:p w:rsidR="00DB10D9" w:rsidRDefault="00DB10D9" w:rsidP="00DB10D9"/>
        </w:tc>
      </w:tr>
    </w:tbl>
    <w:p w:rsidR="005E413E" w:rsidRDefault="005E413E"/>
    <w:p w:rsidR="00EC30FD" w:rsidRDefault="00EC30FD" w:rsidP="00EC30FD">
      <w:r>
        <w:t>NB : I/A/D/T = Inspection/Analyse/Démonstration/Tests</w:t>
      </w:r>
    </w:p>
    <w:p w:rsidR="00EC30FD" w:rsidRDefault="00EC30FD"/>
    <w:sectPr w:rsidR="00EC3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305"/>
    <w:multiLevelType w:val="hybridMultilevel"/>
    <w:tmpl w:val="362476EE"/>
    <w:lvl w:ilvl="0" w:tplc="4E6E3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46"/>
    <w:rsid w:val="00022FEA"/>
    <w:rsid w:val="00082144"/>
    <w:rsid w:val="001C3BF6"/>
    <w:rsid w:val="002062B4"/>
    <w:rsid w:val="002175FE"/>
    <w:rsid w:val="00233E07"/>
    <w:rsid w:val="002C4DC1"/>
    <w:rsid w:val="00353B0A"/>
    <w:rsid w:val="0037303E"/>
    <w:rsid w:val="003F7B88"/>
    <w:rsid w:val="0044671F"/>
    <w:rsid w:val="004660AB"/>
    <w:rsid w:val="004825BA"/>
    <w:rsid w:val="004A0B99"/>
    <w:rsid w:val="00522546"/>
    <w:rsid w:val="00544DC2"/>
    <w:rsid w:val="0056129D"/>
    <w:rsid w:val="005E413E"/>
    <w:rsid w:val="00600B79"/>
    <w:rsid w:val="0060139C"/>
    <w:rsid w:val="006760C7"/>
    <w:rsid w:val="006D40B5"/>
    <w:rsid w:val="00767DE5"/>
    <w:rsid w:val="00782B1B"/>
    <w:rsid w:val="007F2D36"/>
    <w:rsid w:val="0081794A"/>
    <w:rsid w:val="00865BF5"/>
    <w:rsid w:val="008669E4"/>
    <w:rsid w:val="008C096D"/>
    <w:rsid w:val="008E0469"/>
    <w:rsid w:val="00921003"/>
    <w:rsid w:val="00930A56"/>
    <w:rsid w:val="009653B2"/>
    <w:rsid w:val="009724FD"/>
    <w:rsid w:val="00980BB4"/>
    <w:rsid w:val="009D2545"/>
    <w:rsid w:val="009D5981"/>
    <w:rsid w:val="00B3256B"/>
    <w:rsid w:val="00B479FA"/>
    <w:rsid w:val="00B6746F"/>
    <w:rsid w:val="00B77135"/>
    <w:rsid w:val="00B84354"/>
    <w:rsid w:val="00BB22B2"/>
    <w:rsid w:val="00BE5472"/>
    <w:rsid w:val="00BF262D"/>
    <w:rsid w:val="00C03229"/>
    <w:rsid w:val="00C15D4D"/>
    <w:rsid w:val="00C329EF"/>
    <w:rsid w:val="00CC0857"/>
    <w:rsid w:val="00CE6C8B"/>
    <w:rsid w:val="00CF6E92"/>
    <w:rsid w:val="00D15B48"/>
    <w:rsid w:val="00D22546"/>
    <w:rsid w:val="00D3705A"/>
    <w:rsid w:val="00D41321"/>
    <w:rsid w:val="00D73083"/>
    <w:rsid w:val="00DB0A5F"/>
    <w:rsid w:val="00DB10D9"/>
    <w:rsid w:val="00DF7C9C"/>
    <w:rsid w:val="00E07B0B"/>
    <w:rsid w:val="00E21B80"/>
    <w:rsid w:val="00E720DB"/>
    <w:rsid w:val="00EC30FD"/>
    <w:rsid w:val="00F14E70"/>
    <w:rsid w:val="00F60A9A"/>
    <w:rsid w:val="00F73EF8"/>
    <w:rsid w:val="00F74E96"/>
    <w:rsid w:val="00F9416B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FF5E2-CB00-41A0-A71A-09324382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7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3D911-26D8-4E6A-BCD7-46C31FF2D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ASENCIO</dc:creator>
  <cp:keywords/>
  <dc:description/>
  <cp:lastModifiedBy>Romain ASENCIO</cp:lastModifiedBy>
  <cp:revision>48</cp:revision>
  <dcterms:created xsi:type="dcterms:W3CDTF">2018-02-12T16:19:00Z</dcterms:created>
  <dcterms:modified xsi:type="dcterms:W3CDTF">2018-02-15T12:15:00Z</dcterms:modified>
</cp:coreProperties>
</file>