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Quotation in Video Culture: Fair Use, Platform Power, and Digital Justice</w:t>
      </w:r>
    </w:p>
    <w:p>
      <w:pPr>
        <w:spacing w:after="120"/>
        <w:jc w:val="center"/>
      </w:pPr>
      <w:r>
        <w:rPr>
          <w:i/>
          <w:iCs/>
          <w:sz w:val="24"/>
          <w:szCs w:val="24"/>
        </w:rPr>
        <w:t xml:space="preserve">An Academic Inquiry into Video Quotation, Copyright Enforcement, and Fair Use in the Digital Age</w:t>
      </w:r>
    </w:p>
    <w:p>
      <w:pPr>
        <w:spacing w:after="240"/>
        <w:jc w:val="center"/>
      </w:pPr>
      <w:r>
        <w:rPr>
          <w:color w:val="666666"/>
          <w:sz w:val="22"/>
          <w:szCs w:val="22"/>
        </w:rPr>
        <w:t xml:space="preserve">Academic Paper</w:t>
      </w:r>
    </w:p>
    <w:p>
      <w:pPr>
        <w:pStyle w:val="Heading1"/>
      </w:pPr>
      <w:r>
        <w:t xml:space="preserve">Abstract</w:t>
      </w:r>
    </w:p>
    <w:p>
      <w:pPr>
        <w:spacing w:after="240"/>
        <w:jc w:val="both"/>
      </w:pPr>
      <w:r>
        <w:t xml:space="preserve">The emergence of video as the dominant medium for cultural expression has created a fundamental mismatch between copyright law and technological enforcement. Fair use—a doctrine designed to protect quotation, commentary, and scholarship—remains legally valid for video but is systematically suppressed through automated enforcement systems that cannot distinguish between infringement and fair use. This paper examines the evolution of quotation practices, the structure of fair use doctrine, and the role of platform architecture in suppressing speech protected by law. We argue that true fair use protection requires platform design that documents educational intent, refuses automation, and preserves judicial determination of infringement claims.</w:t>
      </w:r>
    </w:p>
    <w:p>
      <w:pPr>
        <w:pStyle w:val="Heading1"/>
      </w:pPr>
      <w:r>
        <w:t xml:space="preserve">1. Introduction: The Evolution of Quotation</w:t>
      </w:r>
    </w:p>
    <w:p>
      <w:pPr>
        <w:spacing w:after="120"/>
        <w:jc w:val="both"/>
      </w:pPr>
      <w:r>
        <w:t xml:space="preserve">For centuries, quotation was synonymous with textual reproduction. A scholar would copy a passage, enclose it in quotation marks, cite the source, and continue her argument. The printing press made this practice efficient. Copyright law accommodated it through fair use doctrine.</w:t>
      </w:r>
    </w:p>
    <w:p>
      <w:pPr>
        <w:spacing w:after="120"/>
        <w:jc w:val="both"/>
      </w:pPr>
      <w:r>
        <w:t xml:space="preserve">But cultural expression has increasingly shifted to visual and audiovisual media. Film, television, and now digital video have become the primary vehicles through which contemporary culture articulates itself. Young people experience culture through clip-sharing platforms. Scholars analyze films through video essays. Political commentary happens through recirculated footage. In this landscape, the ability to quote video is essential to the ability to participate in cultural discourse.</w:t>
      </w:r>
    </w:p>
    <w:p>
      <w:pPr>
        <w:spacing w:after="240"/>
        <w:jc w:val="both"/>
      </w:pPr>
      <w:r>
        <w:t xml:space="preserve">Yet current enforcement infrastructure treats all video quotation as infringement. This paper examines why, and how fair use doctrine can be preserved through better platform design.</w:t>
      </w:r>
    </w:p>
    <w:p>
      <w:pPr>
        <w:pStyle w:val="Heading1"/>
      </w:pPr>
      <w:r>
        <w:t xml:space="preserve">2. Fair Use Doctrine: Legal Framework</w:t>
      </w:r>
    </w:p>
    <w:p>
      <w:pPr>
        <w:spacing w:after="120"/>
        <w:jc w:val="both"/>
      </w:pPr>
      <w:r>
        <w:t xml:space="preserve">Section 107 of the Copyright Act codifies fair use for "criticism, comment, news reporting, teaching, scholarship, or research." The doctrine originated in recognition that copyright must be balanced against public interest in accessing and building upon creative works.</w:t>
      </w:r>
    </w:p>
    <w:p>
      <w:pPr>
        <w:spacing w:after="120"/>
        <w:jc w:val="both"/>
      </w:pPr>
      <w:r>
        <w:t xml:space="preserve">Fair use is determined by weighing four factors: (1) purpose and character (transformative use favors fair use); (2) nature of the work (creative works can support fair use); (3) amount used (only necessary amount); (4) effect on market (no market substitution). These factors are applied by courts, not copyright holders. Fair use is a legal right, not a privilege granted by rights-holders.</w:t>
      </w:r>
    </w:p>
    <w:p>
      <w:pPr>
        <w:spacing w:after="240"/>
        <w:jc w:val="both"/>
      </w:pPr>
      <w:r>
        <w:t xml:space="preserve">Importantly, fair use applies equally to all media. A video quotation for commentary is as legally protected as a textual quotation for the same purpose. The medium does not determine the law—the use does.</w:t>
      </w:r>
    </w:p>
    <w:p>
      <w:pPr>
        <w:pStyle w:val="Heading1"/>
      </w:pPr>
      <w:r>
        <w:t xml:space="preserve">3. The Problem: Automation Without Judgment</w:t>
      </w:r>
    </w:p>
    <w:p>
      <w:pPr>
        <w:spacing w:after="120"/>
        <w:jc w:val="both"/>
      </w:pPr>
      <w:r>
        <w:t xml:space="preserve">YouTube's Content ID system identifies copyrighted material through audio and visual fingerprinting. When a match is detected, the system automatically flags it. Copyright holders can choose to monetize, block, or track the content.</w:t>
      </w:r>
    </w:p>
    <w:p>
      <w:pPr>
        <w:spacing w:after="120"/>
        <w:jc w:val="both"/>
      </w:pPr>
      <w:r>
        <w:t xml:space="preserve">The system cannot evaluate fair use. It does not understand context, purpose, or transformation. A 10-second clip used in film criticism and a 10-hour compilation of the same film receive identical treatment. The algorithm sees the same copyright registration; it cannot see the difference between quotation and reproduction.</w:t>
      </w:r>
    </w:p>
    <w:p>
      <w:pPr>
        <w:spacing w:after="120"/>
        <w:jc w:val="both"/>
      </w:pPr>
      <w:r>
        <w:t xml:space="preserve">This creates a practical result: fair use becomes impossible without legal defense. Users can counter-claim, but only 10% do. The remaining 90% accept suppression. The system achieves what copyright law does not permit—automatic, pre-judgment suppression of protected speech.</w:t>
      </w:r>
    </w:p>
    <w:p>
      <w:pPr>
        <w:spacing w:after="240"/>
        <w:jc w:val="both"/>
      </w:pPr>
      <w:r>
        <w:t xml:space="preserve">Moreover, this system operates without any incentive to recognize fair use. YouTube profits from advertiser relationships with copyright holders. Copyright holders profit from enforcement. Users pay the cost.</w:t>
      </w:r>
    </w:p>
    <w:p>
      <w:pPr>
        <w:pStyle w:val="Heading1"/>
      </w:pPr>
      <w:r>
        <w:t xml:space="preserve">4. Cultural Impact: The Suppression of Video Quotation</w:t>
      </w:r>
    </w:p>
    <w:p>
      <w:pPr>
        <w:spacing w:after="120"/>
        <w:jc w:val="both"/>
      </w:pPr>
      <w:r>
        <w:t xml:space="preserve">The suppression of video quotation has measurable cultural impact. Video essays—a form of scholarly and critical discourse—face takedown even when fully compliant with fair use. Teachers cannot share film clips with students without platform barriers. Filmmakers cannot quote existing cinema in their work without facing claims.</w:t>
      </w:r>
    </w:p>
    <w:p>
      <w:pPr>
        <w:spacing w:after="120"/>
        <w:jc w:val="both"/>
      </w:pPr>
      <w:r>
        <w:t xml:space="preserve">This is not incidental suppression. It is systematic. The algorithm treats fair use as an edge case rather than a protected right. The burden of proof falls entirely on the speaker, who must employ expensive legal defense to exercise a legal right.</w:t>
      </w:r>
    </w:p>
    <w:p>
      <w:pPr>
        <w:spacing w:after="240"/>
        <w:jc w:val="both"/>
      </w:pPr>
      <w:r>
        <w:t xml:space="preserve">The result is a chilling effect. People self-censor. They avoid quoting culture. They stop trying. The law permits quotation, but technology prohibits it.</w:t>
      </w:r>
    </w:p>
    <w:p>
      <w:pPr>
        <w:pStyle w:val="Heading1"/>
      </w:pPr>
      <w:r>
        <w:t xml:space="preserve">5. Platform Design as Legal Architecture</w:t>
      </w:r>
    </w:p>
    <w:p>
      <w:pPr>
        <w:spacing w:after="120"/>
        <w:jc w:val="both"/>
      </w:pPr>
      <w:r>
        <w:t xml:space="preserve">Platform design choices have legal consequences. When YouTube automates takedowns, it is not merely making a technical choice—it is allocating legal power. It decides that copyright holder convenience exceeds user fair use rights. It decides that speed exceeds accuracy. It decides that automation exceeds human judgment.</w:t>
      </w:r>
    </w:p>
    <w:p>
      <w:pPr>
        <w:spacing w:after="120"/>
        <w:jc w:val="both"/>
      </w:pPr>
      <w:r>
        <w:t xml:space="preserve">Alternative designs are possible. A platform could: (1) document educational intent through structured metadata; (2) refuse automated takedowns; (3) log all claims transparently; (4) require human evaluation before suppression; (5) preserve user response opportunity; (6) maintain permanent records of all actions.</w:t>
      </w:r>
    </w:p>
    <w:p>
      <w:pPr>
        <w:spacing w:after="240"/>
        <w:jc w:val="both"/>
      </w:pPr>
      <w:r>
        <w:t xml:space="preserve">Such design restores fair use. It does not eliminate copyright—it restores the balance that fair use doctrine requires.</w:t>
      </w:r>
    </w:p>
    <w:p>
      <w:pPr>
        <w:pStyle w:val="Heading1"/>
      </w:pPr>
      <w:r>
        <w:t xml:space="preserve">6. Proposed Solution: Fair Use Infrastructure</w:t>
      </w:r>
    </w:p>
    <w:p>
      <w:pPr>
        <w:spacing w:after="120"/>
        <w:jc w:val="both"/>
      </w:pPr>
      <w:r>
        <w:t xml:space="preserve">We propose ClipCite: a platform designed around fair use principles. Users document educational intent through structured metadata (description, purpose, keywords, context). The system generates proper citations. Claims are logged publicly. Users receive 10 business days to respond with fair use arguments. No clip is removed except by court order.</w:t>
      </w:r>
    </w:p>
    <w:p>
      <w:pPr>
        <w:spacing w:after="120"/>
        <w:jc w:val="both"/>
      </w:pPr>
      <w:r>
        <w:t xml:space="preserve">This design does three things: (1) documents good faith (strengthens fair use defense); (2) creates transparency (deters frivolous claims); (3) preserves due process (prevents pre-judgment suppression).</w:t>
      </w:r>
    </w:p>
    <w:p>
      <w:pPr>
        <w:spacing w:after="240"/>
        <w:jc w:val="both"/>
      </w:pPr>
      <w:r>
        <w:t xml:space="preserve">Importantly, the platform operates as citation infrastructure, not content distribution. Users are responsible for their use. The platform is responsible for documenting intent and refusing automation.</w:t>
      </w:r>
    </w:p>
    <w:p>
      <w:pPr>
        <w:pStyle w:val="Heading1"/>
      </w:pPr>
      <w:r>
        <w:t xml:space="preserve">7. Legal Implications</w:t>
      </w:r>
    </w:p>
    <w:p>
      <w:pPr>
        <w:spacing w:after="120"/>
        <w:jc w:val="both"/>
      </w:pPr>
      <w:r>
        <w:t xml:space="preserve">Several legal questions emerge: (1) Can copyright holders claim secondary liability against a platform that refuses to automate takedowns? Likely no—the platform is not facilitating infringement; it is supporting fair use. (2) Does platform design constitute "deliberate blindness" to infringement? No—the platform documents intent and preserves user response opportunity. (3) Does transparent DMCA handling provide strong legal protection? Yes—it demonstrates good faith and strengthens fair use defenses.</w:t>
      </w:r>
    </w:p>
    <w:p>
      <w:pPr>
        <w:spacing w:after="240"/>
        <w:jc w:val="both"/>
      </w:pPr>
      <w:r>
        <w:t xml:space="preserve">Such a platform does not eliminate copyright. It restores fair use as a viable defense rather than a theoretical protection.</w:t>
      </w:r>
    </w:p>
    <w:p>
      <w:pPr>
        <w:pStyle w:val="Heading1"/>
      </w:pPr>
      <w:r>
        <w:t xml:space="preserve">8. Conclusion</w:t>
      </w:r>
    </w:p>
    <w:p>
      <w:pPr>
        <w:spacing w:after="120"/>
        <w:jc w:val="both"/>
      </w:pPr>
      <w:r>
        <w:t xml:space="preserve">Fair use doctrine exists because copyright must be balanced against public interest in quotation and commentary. This balance is being destroyed not by law, but by technology. Platforms have automated away fair use without changing the law.</w:t>
      </w:r>
    </w:p>
    <w:p>
      <w:pPr>
        <w:spacing w:after="240"/>
        <w:jc w:val="both"/>
      </w:pPr>
      <w:r>
        <w:t xml:space="preserve">Restoring fair use requires platform design that supports it. Such design is possible, legally defensible, and necessary for preserving the ability to quote culture in its dominant medium. The question is not whether such platforms can exist—the question is whether society values fair use enough to build them.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40"/>
      <w:jc w:val="center"/>
    </w:pPr>
    <w:rPr>
      <w:rFonts w:ascii="Arial" w:cs="Arial" w:eastAsia="Arial" w:hAnsi="Arial"/>
      <w:b/>
      <w:bCs/>
      <w:color w:val="1a1a2e"/>
      <w:sz w:val="56"/>
      <w:szCs w:val="56"/>
    </w:rPr>
  </w:style>
  <w:style w:type="paragraph" w:styleId="Heading1">
    <w:name w:val="Heading 1"/>
    <w:basedOn w:val="Normal"/>
    <w:next w:val="Normal"/>
    <w:qFormat/>
    <w:pPr>
      <w:spacing w:before="240" w:after="120"/>
      <w:outlineLvl w:val="0"/>
    </w:pPr>
    <w:rPr>
      <w:rFonts w:ascii="Arial" w:cs="Arial" w:eastAsia="Arial" w:hAnsi="Arial"/>
      <w:b/>
      <w:bCs/>
      <w:color w:val="00d4ff"/>
      <w:sz w:val="32"/>
      <w:szCs w:val="32"/>
    </w:rPr>
  </w:style>
  <w:style w:type="paragraph" w:styleId="Heading2">
    <w:name w:val="Heading 2"/>
    <w:basedOn w:val="Normal"/>
    <w:next w:val="Normal"/>
    <w:qFormat/>
    <w:pPr>
      <w:spacing w:before="180" w:after="100"/>
      <w:outlineLvl w:val="1"/>
    </w:pPr>
    <w:rPr>
      <w:rFonts w:ascii="Arial" w:cs="Arial" w:eastAsia="Arial" w:hAnsi="Arial"/>
      <w:b/>
      <w:bCs/>
      <w:color w:val="2c3e5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2026-01-02T03:15:06.452Z</dcterms:created>
  <dcterms:modified xsi:type="dcterms:W3CDTF">2026-01-02T03:15:06.453Z</dcterms:modified>
</cp:coreProperties>
</file>

<file path=docProps/custom.xml><?xml version="1.0" encoding="utf-8"?>
<Properties xmlns="http://schemas.openxmlformats.org/officeDocument/2006/custom-properties" xmlns:vt="http://schemas.openxmlformats.org/officeDocument/2006/docPropsVTypes"/>
</file>