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ClipCite</w:t>
      </w:r>
    </w:p>
    <w:p>
      <w:pPr>
        <w:spacing w:after="120"/>
        <w:jc w:val="center"/>
      </w:pPr>
      <w:r>
        <w:rPr>
          <w:i/>
          <w:iCs/>
          <w:sz w:val="26"/>
          <w:szCs w:val="26"/>
        </w:rPr>
        <w:t xml:space="preserve">Fair Use Citation Infrastructure for Video Culture</w:t>
      </w:r>
    </w:p>
    <w:p>
      <w:pPr>
        <w:spacing w:after="240"/>
        <w:jc w:val="center"/>
      </w:pPr>
      <w:r>
        <w:rPr>
          <w:color w:val="666666"/>
          <w:sz w:val="24"/>
          <w:szCs w:val="24"/>
        </w:rPr>
        <w:t xml:space="preserve">White Paper</w:t>
      </w:r>
    </w:p>
    <w:p>
      <w:pPr>
        <w:pStyle w:val="Heading1"/>
      </w:pPr>
      <w:r>
        <w:t xml:space="preserve">Executive Summary</w:t>
      </w:r>
    </w:p>
    <w:p>
      <w:pPr>
        <w:spacing w:after="120"/>
        <w:jc w:val="both"/>
      </w:pPr>
      <w:r>
        <w:t xml:space="preserve">Video has become the primary medium through which people experience, discuss, and quote culture. Yet current copyright enforcement infrastructure treats all video quotation as piracy, systematically suppressing fair use rights through automated takedown systems operated by platforms with financial incentive to side with copyright holders.</w:t>
      </w:r>
    </w:p>
    <w:p>
      <w:pPr>
        <w:spacing w:after="120"/>
        <w:jc w:val="both"/>
      </w:pPr>
      <w:r>
        <w:t xml:space="preserve">ClipCite provides public infrastructure for fair use citation. By documenting educational intent through structured metadata, making copyright claims transparent, and refusing to automate fair use determinations, ClipCite restores the ability to quote, discuss, and analyze video culture within the bounds of law.</w:t>
      </w:r>
    </w:p>
    <w:p>
      <w:pPr>
        <w:spacing w:after="240"/>
        <w:jc w:val="both"/>
      </w:pPr>
      <w:r>
        <w:t xml:space="preserve">This paper establishes the legal, cultural, and practical case for ClipCite's approach and outlines its implementation.</w:t>
      </w:r>
    </w:p>
    <w:p>
      <w:pPr>
        <w:pStyle w:val="Heading1"/>
      </w:pPr>
      <w:r>
        <w:t xml:space="preserve">The Problem: Automated Suppression of Fair Use</w:t>
      </w:r>
    </w:p>
    <w:p>
      <w:pPr>
        <w:pStyle w:val="Heading2"/>
      </w:pPr>
      <w:r>
        <w:t xml:space="preserve">Fair Use Is Legal</w:t>
      </w:r>
    </w:p>
    <w:p>
      <w:pPr>
        <w:spacing w:after="120"/>
        <w:jc w:val="both"/>
      </w:pPr>
      <w:r>
        <w:t xml:space="preserve">Section 107 of the Copyright Act explicitly permits fair use for purposes including criticism, comment, news reporting, teaching, scholarship, and research. Fair use is not a request for permission—it is a legal defense that applies whether copyright holders consent or not.</w:t>
      </w:r>
    </w:p>
    <w:p>
      <w:pPr>
        <w:spacing w:after="240"/>
        <w:jc w:val="both"/>
      </w:pPr>
      <w:r>
        <w:t xml:space="preserve">The four fair use factors (purpose and character, nature of the work, amount used, and effect on market) are determined by courts, not platforms. Yet major platforms have delegated this judicial function to automated systems that assume guilt and shift the burden to users.</w:t>
      </w:r>
    </w:p>
    <w:p>
      <w:pPr>
        <w:pStyle w:val="Heading2"/>
      </w:pPr>
      <w:r>
        <w:t xml:space="preserve">Current Systems Create Chilling Effect</w:t>
      </w:r>
    </w:p>
    <w:p>
      <w:pPr>
        <w:spacing w:after="120"/>
        <w:jc w:val="both"/>
      </w:pPr>
      <w:r>
        <w:t xml:space="preserve">YouTube's Content ID system flags video automatically when it detects copyrighted content. The system cannot distinguish between a full movie and a 30-second clip used for commentary. Copyright holders can issue takedowns without evidence of infringement. Users can counter-claim, but only 10% do—the vast majority accept suppression rather than engage in legal defense.</w:t>
      </w:r>
    </w:p>
    <w:p>
      <w:pPr>
        <w:spacing w:after="120"/>
        <w:jc w:val="both"/>
      </w:pPr>
      <w:r>
        <w:t xml:space="preserve">This creates a de facto rule: video quotation is prohibited, regardless of fair use. A student quoting a film scene for an essay, a mom sharing a clip that moved her, a critic analyzing a movie—all face suppression not because they're infringing, but because automated systems can't tell the difference between piracy and quotation.</w:t>
      </w:r>
    </w:p>
    <w:p>
      <w:pPr>
        <w:spacing w:after="240"/>
        <w:jc w:val="both"/>
      </w:pPr>
      <w:r>
        <w:t xml:space="preserve">The burden falls entirely on users, and users lack resources to fight. Platforms profit from suppression. Copyright holders profit from enforcement. Only users and free speech lose.</w:t>
      </w:r>
    </w:p>
    <w:p>
      <w:pPr>
        <w:pStyle w:val="Heading2"/>
      </w:pPr>
      <w:r>
        <w:t xml:space="preserve">Video Is How Culture Is Quoted Now</w:t>
      </w:r>
    </w:p>
    <w:p>
      <w:pPr>
        <w:spacing w:after="240"/>
        <w:jc w:val="both"/>
      </w:pPr>
      <w:r>
        <w:t xml:space="preserve">For 500 years, quotation meant copying text. A single sentence could carry weight. But video works differently. A character's expression, a scene's pacing, a line's delivery in context—these cannot be conveyed with text. When someone shares a 20-second clip with the comment 'this,' they are not being lazy. They are being precise. The clip is the quote. Denying the ability to quote video denies the ability to quote culture as it actually exists.</w:t>
      </w:r>
    </w:p>
    <w:p>
      <w:pPr>
        <w:pStyle w:val="Heading1"/>
      </w:pPr>
      <w:r>
        <w:t xml:space="preserve">The Solution: Fair Use Infrastructure</w:t>
      </w:r>
    </w:p>
    <w:p>
      <w:pPr>
        <w:spacing w:after="240"/>
        <w:jc w:val="both"/>
      </w:pPr>
      <w:r>
        <w:t xml:space="preserve">ClipCite takes a different approach: assume educational intent, document it rigorously, make copyright claims transparent, and refuse to automate fair use determinations.</w:t>
      </w:r>
    </w:p>
    <w:p>
      <w:pPr>
        <w:pStyle w:val="Heading2"/>
      </w:pPr>
      <w:r>
        <w:t xml:space="preserve">Seven-Step Process</w:t>
      </w:r>
    </w:p>
    <w:p>
      <w:pPr>
        <w:pStyle w:val="ListParagraph"/>
        <w:numPr>
          <w:ilvl w:val="0"/>
          <w:numId w:val="2"/>
        </w:numPr>
      </w:pPr>
      <w:r>
        <w:rPr>
          <w:b/>
          <w:bCs/>
        </w:rPr>
        <w:t xml:space="preserve">Upload or Link: </w:t>
      </w:r>
      <w:r>
        <w:t xml:space="preserve">Users provide a clip (file or link) from any source.</w:t>
      </w:r>
    </w:p>
    <w:p>
      <w:pPr>
        <w:pStyle w:val="ListParagraph"/>
        <w:numPr>
          <w:ilvl w:val="0"/>
          <w:numId w:val="2"/>
        </w:numPr>
      </w:pPr>
      <w:r>
        <w:rPr>
          <w:b/>
          <w:bCs/>
        </w:rPr>
        <w:t xml:space="preserve">Add Context: </w:t>
      </w:r>
      <w:r>
        <w:t xml:space="preserve">Title, timestamp, description, purpose, keywords. This metadata documents educational intent.</w:t>
      </w:r>
    </w:p>
    <w:p>
      <w:pPr>
        <w:pStyle w:val="ListParagraph"/>
        <w:numPr>
          <w:ilvl w:val="0"/>
          <w:numId w:val="2"/>
        </w:numPr>
      </w:pPr>
      <w:r>
        <w:rPr>
          <w:b/>
          <w:bCs/>
        </w:rPr>
        <w:t xml:space="preserve">Auto-Generate Citation: </w:t>
      </w:r>
      <w:r>
        <w:t xml:space="preserve">APA, MLA, Chicago formats with proper attribution.</w:t>
      </w:r>
    </w:p>
    <w:p>
      <w:pPr>
        <w:pStyle w:val="ListParagraph"/>
        <w:numPr>
          <w:ilvl w:val="0"/>
          <w:numId w:val="2"/>
        </w:numPr>
      </w:pPr>
      <w:r>
        <w:rPr>
          <w:b/>
          <w:bCs/>
        </w:rPr>
        <w:t xml:space="preserve">Publish: </w:t>
      </w:r>
      <w:r>
        <w:t xml:space="preserve">Clip is public with full metadata visible.</w:t>
      </w:r>
    </w:p>
    <w:p>
      <w:pPr>
        <w:pStyle w:val="ListParagraph"/>
        <w:numPr>
          <w:ilvl w:val="0"/>
          <w:numId w:val="2"/>
        </w:numPr>
      </w:pPr>
      <w:r>
        <w:rPr>
          <w:b/>
          <w:bCs/>
        </w:rPr>
        <w:t xml:space="preserve">If Challenged: </w:t>
      </w:r>
      <w:r>
        <w:t xml:space="preserve">DMCA notice logged, user notified, user can respond with fair use argument.</w:t>
      </w:r>
    </w:p>
    <w:p>
      <w:pPr>
        <w:pStyle w:val="ListParagraph"/>
        <w:numPr>
          <w:ilvl w:val="0"/>
          <w:numId w:val="2"/>
        </w:numPr>
      </w:pPr>
      <w:r>
        <w:rPr>
          <w:b/>
          <w:bCs/>
        </w:rPr>
        <w:t xml:space="preserve">Documentation: </w:t>
      </w:r>
      <w:r>
        <w:t xml:space="preserve">All records kept for legal clarity.</w:t>
      </w:r>
    </w:p>
    <w:p>
      <w:pPr>
        <w:pStyle w:val="ListParagraph"/>
        <w:numPr>
          <w:ilvl w:val="0"/>
          <w:numId w:val="2"/>
        </w:numPr>
        <w:spacing w:after="240"/>
      </w:pPr>
      <w:r>
        <w:rPr>
          <w:b/>
          <w:bCs/>
        </w:rPr>
        <w:t xml:space="preserve">User Control: </w:t>
      </w:r>
      <w:r>
        <w:t xml:space="preserve">Keep public (claims visible) or privatize (still documented). DMCA record stays permanent.</w:t>
      </w:r>
    </w:p>
    <w:p>
      <w:pPr>
        <w:pStyle w:val="Heading2"/>
      </w:pPr>
      <w:r>
        <w:t xml:space="preserve">Key Design Principle: Free Speech Before Corporate Takedown</w:t>
      </w:r>
    </w:p>
    <w:p>
      <w:pPr>
        <w:spacing w:after="120"/>
        <w:jc w:val="both"/>
      </w:pPr>
      <w:r>
        <w:t xml:space="preserve">ClipCite prioritizes fair use rights over copyright holder convenience. No automated takedowns. Claims are logged publicly. Users get response opportunity. Metadata creates legal paper trail showing good faith.</w:t>
      </w:r>
    </w:p>
    <w:p>
      <w:pPr>
        <w:spacing w:after="240"/>
        <w:jc w:val="both"/>
      </w:pPr>
      <w:r>
        <w:t xml:space="preserve">When copyright holders know their claims will be visible and users can respond publicly, frivolous takedowns drop. Transparency deters abuse.</w:t>
      </w:r>
    </w:p>
    <w:p>
      <w:pPr>
        <w:pStyle w:val="Heading1"/>
      </w:pPr>
      <w:r>
        <w:t xml:space="preserve">Legal Framework</w:t>
      </w:r>
    </w:p>
    <w:p>
      <w:pPr>
        <w:spacing w:after="240"/>
        <w:jc w:val="both"/>
      </w:pPr>
      <w:r>
        <w:t xml:space="preserve">If challenged, ClipCite's legal position is clear: we are citation infrastructure, not content distributor. Users are responsible for their use. We document that responsibility. Fair use is a legal right, not a platform privilege. By refusing automation, we support its exercise.</w:t>
      </w:r>
    </w:p>
    <w:p>
      <w:pPr>
        <w:pStyle w:val="Heading2"/>
      </w:pPr>
      <w:r>
        <w:t xml:space="preserve">Fair Use Factors</w:t>
      </w:r>
    </w:p>
    <w:p>
      <w:pPr>
        <w:spacing w:after="120"/>
        <w:jc w:val="both"/>
      </w:pPr>
      <w:r>
        <w:t xml:space="preserve">Courts determine fair use by weighing four factors: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2340"/>
        <w:gridCol w:w="6720"/>
      </w:tblGrid>
      <w:tr>
        <w:trPr>
          <w:tblHeader/>
        </w:trPr>
        <w:tc>
          <w:tcPr>
            <w:tcBorders>
              <w:top w:val="single" w:color="CCCCCC" w:sz="1"/>
              <w:left w:val="single" w:color="CCCCCC" w:sz="1"/>
              <w:bottom w:val="single" w:color="CCCCCC" w:sz="1"/>
              <w:right w:val="single" w:color="CCCCCC" w:sz="1"/>
            </w:tcBorders>
            <w:shd w:fill="D5E8F0" w:val="clear"/>
          </w:tcPr>
          <w:p>
            <w:r>
              <w:rPr>
                <w:b/>
                <w:bCs/>
              </w:rPr>
              <w:t xml:space="preserve">Factor</w:t>
            </w:r>
          </w:p>
        </w:tc>
        <w:tc>
          <w:tcPr>
            <w:tcBorders>
              <w:top w:val="single" w:color="CCCCCC" w:sz="1"/>
              <w:left w:val="single" w:color="CCCCCC" w:sz="1"/>
              <w:bottom w:val="single" w:color="CCCCCC" w:sz="1"/>
              <w:right w:val="single" w:color="CCCCCC" w:sz="1"/>
            </w:tcBorders>
            <w:shd w:fill="D5E8F0" w:val="clear"/>
          </w:tcPr>
          <w:p>
            <w:r>
              <w:rPr>
                <w:b/>
                <w:bCs/>
              </w:rPr>
              <w:t xml:space="preserve">ClipCite Advantage</w:t>
            </w:r>
          </w:p>
        </w:tc>
      </w:tr>
      <w:tr>
        <w:tc>
          <w:tcPr>
            <w:tcBorders>
              <w:top w:val="single" w:color="CCCCCC" w:sz="1"/>
              <w:left w:val="single" w:color="CCCCCC" w:sz="1"/>
              <w:bottom w:val="single" w:color="CCCCCC" w:sz="1"/>
              <w:right w:val="single" w:color="CCCCCC" w:sz="1"/>
            </w:tcBorders>
          </w:tcPr>
          <w:p>
            <w:r>
              <w:t xml:space="preserve">Purpose</w:t>
            </w:r>
          </w:p>
        </w:tc>
        <w:tc>
          <w:tcPr>
            <w:tcBorders>
              <w:top w:val="single" w:color="CCCCCC" w:sz="1"/>
              <w:left w:val="single" w:color="CCCCCC" w:sz="1"/>
              <w:bottom w:val="single" w:color="CCCCCC" w:sz="1"/>
              <w:right w:val="single" w:color="CCCCCC" w:sz="1"/>
            </w:tcBorders>
          </w:tcPr>
          <w:p>
            <w:r>
              <w:t xml:space="preserve">Documented educational/commentary intent in metadata strengthens transformative use argument</w:t>
            </w:r>
          </w:p>
        </w:tc>
      </w:tr>
      <w:tr>
        <w:tc>
          <w:tcPr>
            <w:tcBorders>
              <w:top w:val="single" w:color="CCCCCC" w:sz="1"/>
              <w:left w:val="single" w:color="CCCCCC" w:sz="1"/>
              <w:bottom w:val="single" w:color="CCCCCC" w:sz="1"/>
              <w:right w:val="single" w:color="CCCCCC" w:sz="1"/>
            </w:tcBorders>
          </w:tcPr>
          <w:p>
            <w:r>
              <w:t xml:space="preserve">Nature</w:t>
            </w:r>
          </w:p>
        </w:tc>
        <w:tc>
          <w:tcPr>
            <w:tcBorders>
              <w:top w:val="single" w:color="CCCCCC" w:sz="1"/>
              <w:left w:val="single" w:color="CCCCCC" w:sz="1"/>
              <w:bottom w:val="single" w:color="CCCCCC" w:sz="1"/>
              <w:right w:val="single" w:color="CCCCCC" w:sz="1"/>
            </w:tcBorders>
          </w:tcPr>
          <w:p>
            <w:r>
              <w:t xml:space="preserve">Creative works receive stronger fair use protection; platform documents this</w:t>
            </w:r>
          </w:p>
        </w:tc>
      </w:tr>
      <w:tr>
        <w:tc>
          <w:tcPr>
            <w:tcBorders>
              <w:top w:val="single" w:color="CCCCCC" w:sz="1"/>
              <w:left w:val="single" w:color="CCCCCC" w:sz="1"/>
              <w:bottom w:val="single" w:color="CCCCCC" w:sz="1"/>
              <w:right w:val="single" w:color="CCCCCC" w:sz="1"/>
            </w:tcBorders>
          </w:tcPr>
          <w:p>
            <w:r>
              <w:t xml:space="preserve">Amount</w:t>
            </w:r>
          </w:p>
        </w:tc>
        <w:tc>
          <w:tcPr>
            <w:tcBorders>
              <w:top w:val="single" w:color="CCCCCC" w:sz="1"/>
              <w:left w:val="single" w:color="CCCCCC" w:sz="1"/>
              <w:bottom w:val="single" w:color="CCCCCC" w:sz="1"/>
              <w:right w:val="single" w:color="CCCCCC" w:sz="1"/>
            </w:tcBorders>
          </w:tcPr>
          <w:p>
            <w:r>
              <w:t xml:space="preserve">Timestamps show exact clip length; metadata explains why that amount is necessary</w:t>
            </w:r>
          </w:p>
        </w:tc>
      </w:tr>
      <w:tr>
        <w:tc>
          <w:tcPr>
            <w:tcBorders>
              <w:top w:val="single" w:color="CCCCCC" w:sz="1"/>
              <w:left w:val="single" w:color="CCCCCC" w:sz="1"/>
              <w:bottom w:val="single" w:color="CCCCCC" w:sz="1"/>
              <w:right w:val="single" w:color="CCCCCC" w:sz="1"/>
            </w:tcBorders>
          </w:tcPr>
          <w:p>
            <w:r>
              <w:t xml:space="preserve">Market Effect</w:t>
            </w:r>
          </w:p>
        </w:tc>
        <w:tc>
          <w:tcPr>
            <w:tcBorders>
              <w:top w:val="single" w:color="CCCCCC" w:sz="1"/>
              <w:left w:val="single" w:color="CCCCCC" w:sz="1"/>
              <w:bottom w:val="single" w:color="CCCCCC" w:sz="1"/>
              <w:right w:val="single" w:color="CCCCCC" w:sz="1"/>
            </w:tcBorders>
          </w:tcPr>
          <w:p>
            <w:r>
              <w:t xml:space="preserve">Platform exists for citation, not as market substitute for copyrighted works</w:t>
            </w:r>
          </w:p>
        </w:tc>
      </w:tr>
    </w:tbl>
    <w:p>
      <w:pPr>
        <w:spacing w:before="240" w:after="240"/>
        <w:jc w:val="both"/>
      </w:pPr>
      <w:r>
        <w:t xml:space="preserve">ClipCite's structural design strengthens fair use defense for every user on every factor.</w:t>
      </w:r>
    </w:p>
    <w:p>
      <w:pPr>
        <w:pStyle w:val="Heading2"/>
      </w:pPr>
      <w:r>
        <w:t xml:space="preserve">DMCA Safe Harbor Compliance</w:t>
      </w:r>
    </w:p>
    <w:p>
      <w:pPr>
        <w:spacing w:after="240"/>
        <w:jc w:val="both"/>
      </w:pPr>
      <w:r>
        <w:t xml:space="preserve">The DMCA provides safe harbor for platforms that respond to takedown notices. ClipCite complies: we log notices, notify users, require user response, and document all actions. We don't ignore copyright claims. We require humans to evaluate them before any action. This demonstrates good faith and distinguishes us from systems that profit from suppression.</w:t>
      </w:r>
    </w:p>
    <w:p>
      <w:pPr>
        <w:pStyle w:val="Heading1"/>
      </w:pPr>
      <w:r>
        <w:t xml:space="preserve">Implementation</w:t>
      </w:r>
    </w:p>
    <w:p>
      <w:pPr>
        <w:spacing w:after="120"/>
        <w:jc w:val="both"/>
      </w:pPr>
      <w:r>
        <w:t xml:space="preserve">ClipCite's technical architecture is straightforward: metadata-first design, human review of claims, transparent logging, user control over visibility.</w:t>
      </w:r>
    </w:p>
    <w:p>
      <w:pPr>
        <w:spacing w:after="240"/>
        <w:jc w:val="both"/>
      </w:pPr>
      <w:r>
        <w:t xml:space="preserve">Cloud-based (Firebase) or self-hosted infrastructure works equally well. The key is not the technology—it's the philosophy: assume educational intent, document it, refuse automation, make claims transparent.</w:t>
      </w:r>
    </w:p>
    <w:p>
      <w:pPr>
        <w:pStyle w:val="Heading1"/>
      </w:pPr>
      <w:r>
        <w:t xml:space="preserve">Conclusion</w:t>
      </w:r>
    </w:p>
    <w:p>
      <w:pPr>
        <w:spacing w:after="240"/>
        <w:jc w:val="both"/>
      </w:pPr>
      <w:r>
        <w:t xml:space="preserve">Fair use is real. Video quotation is legitimate culture. People should be able to discuss, share, and analyze the media they care about without facing automated suppression from platforms that profit from their silence.</w:t>
      </w:r>
    </w:p>
    <w:p>
      <w:pPr>
        <w:spacing w:after="240"/>
        <w:jc w:val="both"/>
      </w:pPr>
      <w:r>
        <w:t xml:space="preserve">ClipCite proves that platforms can support fair use. By documenting intent, refusing automation, and making claims transparent, we return judicial power to where it belongs: courts, not algorithms.</w:t>
      </w:r>
    </w:p>
    <w:p>
      <w:pPr>
        <w:jc w:val="both"/>
      </w:pPr>
      <w:r>
        <w:t xml:space="preserve">The future of culture depends on the ability to quote it. ClipCite enables that future.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a1a2e"/>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00d4ff"/>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2026-01-02T03:13:59.090Z</dcterms:created>
  <dcterms:modified xsi:type="dcterms:W3CDTF">2026-01-02T03:13:59.091Z</dcterms:modified>
</cp:coreProperties>
</file>

<file path=docProps/custom.xml><?xml version="1.0" encoding="utf-8"?>
<Properties xmlns="http://schemas.openxmlformats.org/officeDocument/2006/custom-properties" xmlns:vt="http://schemas.openxmlformats.org/officeDocument/2006/docPropsVTypes"/>
</file>