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line="300"/>
      </w:pPr>
      <w:r>
        <w:rPr>
          <w:rFonts w:ascii="Calibri" w:cs="Calibri" w:eastAsia="Calibri" w:hAnsi="Calibri"/>
          <w:sz w:val="22"/>
          <w:szCs w:val="22"/>
        </w:rPr>
        <w:t xml:space="preserve"/>
      </w:r>
    </w:p>
    <w:p>
      <w:pPr>
        <w:spacing w:after="200" w:before="0" w:line="300"/>
      </w:pPr>
      <w:r>
        <w:rPr>
          <w:rFonts w:ascii="Calibri" w:cs="Calibri" w:eastAsia="Calibri" w:hAnsi="Calibri"/>
          <w:b/>
          <w:bCs/>
          <w:color w:val="2E7D32"/>
          <w:sz w:val="28"/>
          <w:szCs w:val="28"/>
        </w:rPr>
        <w:t xml:space="preserve">LIEN PARENTAL</w:t>
      </w:r>
    </w:p>
    <w:p>
      <w:pPr>
        <w:spacing w:after="240" w:before="0" w:line="300"/>
      </w:pPr>
      <w:r>
        <w:rPr>
          <w:rFonts w:ascii="Calibri" w:cs="Calibri" w:eastAsia="Calibri" w:hAnsi="Calibri"/>
          <w:b/>
          <w:bCs/>
          <w:color w:val="0B2D5B"/>
          <w:sz w:val="52"/>
          <w:szCs w:val="52"/>
        </w:rPr>
        <w:t xml:space="preserve">Stratégie commerciale et plan de communication</w:t>
      </w:r>
    </w:p>
    <w:p>
      <w:pPr>
        <w:spacing w:after="1600" w:before="0" w:line="300"/>
      </w:pPr>
      <w:r>
        <w:rPr>
          <w:rFonts w:ascii="Calibri" w:cs="Calibri" w:eastAsia="Calibri" w:hAnsi="Calibri"/>
          <w:color w:val="5B6577"/>
          <w:sz w:val="28"/>
          <w:szCs w:val="28"/>
        </w:rPr>
        <w:t xml:space="preserve">12 mois · Guyane · budget 300 € par mois dont 150 € de publicité</w:t>
      </w:r>
    </w:p>
    <w:p>
      <w:pPr>
        <w:spacing w:after="60" w:before="0" w:line="300"/>
      </w:pPr>
      <w:r>
        <w:rPr>
          <w:rFonts w:ascii="Calibri" w:cs="Calibri" w:eastAsia="Calibri" w:hAnsi="Calibri"/>
          <w:color w:val="5B6577"/>
          <w:sz w:val="22"/>
          <w:szCs w:val="22"/>
        </w:rPr>
        <w:t xml:space="preserve">Préparé par Pirabel Labs, concepteur de l’application</w:t>
      </w:r>
    </w:p>
    <w:p>
      <w:pPr>
        <w:spacing w:after="120" w:before="0" w:line="300"/>
        <w:sectPr>
          <w:pgSz w:w="11906" w:h="16838" w:orient="portrait"/>
          <w:pgMar w:top="1134" w:right="1134" w:bottom="1134" w:left="1134" w:header="708" w:footer="708" w:gutter="0"/>
          <w:pgNumType/>
          <w:docGrid w:linePitch="360"/>
        </w:sectPr>
      </w:pPr>
      <w:r>
        <w:rPr>
          <w:rFonts w:ascii="Calibri" w:cs="Calibri" w:eastAsia="Calibri" w:hAnsi="Calibri"/>
          <w:color w:val="5B6577"/>
          <w:sz w:val="22"/>
          <w:szCs w:val="22"/>
        </w:rPr>
        <w:t xml:space="preserve">Octobre 2026 · document de travail</w:t>
      </w:r>
    </w:p>
    <w:p>
      <w:pPr>
        <w:pStyle w:val="Heading1"/>
        <w:pageBreakBefore/>
        <w:spacing w:after="200"/>
      </w:pPr>
      <w:r>
        <w:rPr>
          <w:rFonts w:ascii="Calibri" w:cs="Calibri" w:eastAsia="Calibri" w:hAnsi="Calibri"/>
          <w:b/>
          <w:bCs/>
          <w:color w:val="0B2D5B"/>
          <w:sz w:val="36"/>
          <w:szCs w:val="36"/>
        </w:rPr>
        <w:t xml:space="preserve">1. L’essentiel en une page</w:t>
      </w:r>
    </w:p>
    <w:p>
      <w:pPr>
        <w:spacing w:after="120" w:before="0" w:line="300"/>
      </w:pPr>
      <w:r>
        <w:rPr>
          <w:rFonts w:ascii="Calibri" w:cs="Calibri" w:eastAsia="Calibri" w:hAnsi="Calibri"/>
          <w:sz w:val="22"/>
          <w:szCs w:val="22"/>
        </w:rPr>
        <w:t xml:space="preserve">Lien Parental est la première application pensée pour les parents séparés de Guyane : organisation du quotidien, échanges apaisés, coffre-fort de documents, Coach IA et un Guide des démarches locales vérifiées, en français, anglais et portugais. Le modèle est « gratuit pour commencer, Premium pour aller plus loin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2E7D32" w:sz="24"/>
              <w:bottom w:val="none"/>
              <w:right w:val="none"/>
            </w:tcBorders>
            <w:shd w:fill="E8F5E9" w:color="auto" w:val="clear"/>
            <w:tcMar>
              <w:top w:type="dxa" w:w="140"/>
              <w:left w:type="dxa" w:w="220"/>
              <w:bottom w:type="dxa" w:w="140"/>
              <w:right w:type="dxa" w:w="200"/>
            </w:tcMar>
          </w:tcPr>
          <w:p>
            <w:pPr>
              <w:spacing w:after="80" w:before="0" w:line="300"/>
            </w:pPr>
            <w:r>
              <w:rPr>
                <w:rFonts w:ascii="Calibri" w:cs="Calibri" w:eastAsia="Calibri" w:hAnsi="Calibri"/>
                <w:b/>
                <w:bCs/>
                <w:color w:val="2E7D32"/>
                <w:sz w:val="23"/>
                <w:szCs w:val="23"/>
              </w:rPr>
              <w:t xml:space="preserve">Objectif à 12 mois (scénario prudent)</w:t>
            </w:r>
          </w:p>
          <w:p>
            <w:pPr>
              <w:spacing w:after="60" w:before="0" w:line="300"/>
            </w:pPr>
            <w:r>
              <w:rPr>
                <w:rFonts w:ascii="Calibri" w:cs="Calibri" w:eastAsia="Calibri" w:hAnsi="Calibri"/>
                <w:b/>
                <w:bCs/>
                <w:sz w:val="22"/>
                <w:szCs w:val="22"/>
              </w:rPr>
              <w:t xml:space="preserve">≈ 1 400 parents inscrits</w:t>
            </w:r>
            <w:r>
              <w:rPr>
                <w:rFonts w:ascii="Calibri" w:cs="Calibri" w:eastAsia="Calibri" w:hAnsi="Calibri"/>
                <w:sz w:val="22"/>
                <w:szCs w:val="22"/>
              </w:rPr>
              <w:t xml:space="preserve"> et </w:t>
            </w:r>
            <w:r>
              <w:rPr>
                <w:rFonts w:ascii="Calibri" w:cs="Calibri" w:eastAsia="Calibri" w:hAnsi="Calibri"/>
                <w:b/>
                <w:bCs/>
                <w:sz w:val="22"/>
                <w:szCs w:val="22"/>
              </w:rPr>
              <w:t xml:space="preserve">≈ 55 abonnés payants</w:t>
            </w:r>
            <w:r>
              <w:rPr>
                <w:rFonts w:ascii="Calibri" w:cs="Calibri" w:eastAsia="Calibri" w:hAnsi="Calibri"/>
                <w:sz w:val="22"/>
                <w:szCs w:val="22"/>
              </w:rPr>
              <w:t xml:space="preserve">, soit environ 550 € de revenu mensuel récurrent.</w:t>
            </w:r>
          </w:p>
          <w:p>
            <w:pPr>
              <w:spacing w:after="60" w:before="0" w:line="300"/>
            </w:pPr>
            <w:r>
              <w:rPr>
                <w:rFonts w:ascii="Calibri" w:cs="Calibri" w:eastAsia="Calibri" w:hAnsi="Calibri"/>
                <w:sz w:val="22"/>
                <w:szCs w:val="22"/>
              </w:rPr>
              <w:t xml:space="preserve">Autofinancement du budget marketing (300 €/mois) vers le </w:t>
            </w:r>
            <w:r>
              <w:rPr>
                <w:rFonts w:ascii="Calibri" w:cs="Calibri" w:eastAsia="Calibri" w:hAnsi="Calibri"/>
                <w:b/>
                <w:bCs/>
                <w:sz w:val="22"/>
                <w:szCs w:val="22"/>
              </w:rPr>
              <w:t xml:space="preserve">9e mois</w:t>
            </w:r>
            <w:r>
              <w:rPr>
                <w:rFonts w:ascii="Calibri" w:cs="Calibri" w:eastAsia="Calibri" w:hAnsi="Calibri"/>
                <w:sz w:val="22"/>
                <w:szCs w:val="22"/>
              </w:rPr>
              <w:t xml:space="preserve"> (≈ 30 abonnés).</w:t>
            </w:r>
          </w:p>
          <w:p>
            <w:pPr>
              <w:spacing w:after="60" w:before="0" w:line="300"/>
            </w:pPr>
            <w:r>
              <w:rPr>
                <w:rFonts w:ascii="Calibri" w:cs="Calibri" w:eastAsia="Calibri" w:hAnsi="Calibri"/>
                <w:sz w:val="22"/>
                <w:szCs w:val="22"/>
              </w:rPr>
              <w:t xml:space="preserve">Devenir </w:t>
            </w:r>
            <w:r>
              <w:rPr>
                <w:rFonts w:ascii="Calibri" w:cs="Calibri" w:eastAsia="Calibri" w:hAnsi="Calibri"/>
                <w:b/>
                <w:bCs/>
                <w:sz w:val="22"/>
                <w:szCs w:val="22"/>
              </w:rPr>
              <w:t xml:space="preserve">la référence locale</w:t>
            </w:r>
            <w:r>
              <w:rPr>
                <w:rFonts w:ascii="Calibri" w:cs="Calibri" w:eastAsia="Calibri" w:hAnsi="Calibri"/>
                <w:sz w:val="22"/>
                <w:szCs w:val="22"/>
              </w:rPr>
              <w:t xml:space="preserve"> sur « séparation, garde, pension en Guyane », sur Google comme dans les réponses des IA.</w:t>
            </w:r>
          </w:p>
        </w:tc>
      </w:tr>
    </w:tbl>
    <w:p>
      <w:pPr>
        <w:spacing w:after="120" w:before="0" w:line="30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D32"/>
          <w:sz w:val="28"/>
          <w:szCs w:val="28"/>
        </w:rPr>
        <w:t xml:space="preserve">Les trois leviers</w:t>
      </w:r>
    </w:p>
    <w:p>
      <w:pPr>
        <w:pStyle w:val="ListParagraph"/>
        <w:numPr>
          <w:ilvl w:val="0"/>
          <w:numId w:val="2"/>
        </w:numPr>
        <w:spacing w:after="80" w:line="290"/>
      </w:pPr>
      <w:r>
        <w:rPr>
          <w:rFonts w:ascii="Calibri" w:cs="Calibri" w:eastAsia="Calibri" w:hAnsi="Calibri"/>
          <w:b/>
          <w:bCs/>
          <w:sz w:val="22"/>
          <w:szCs w:val="22"/>
        </w:rPr>
        <w:t xml:space="preserve">Être trouvé quand on cherche : </w:t>
      </w:r>
      <w:r>
        <w:rPr>
          <w:rFonts w:ascii="Calibri" w:cs="Calibri" w:eastAsia="Calibri" w:hAnsi="Calibri"/>
          <w:sz w:val="22"/>
          <w:szCs w:val="22"/>
        </w:rPr>
        <w:t xml:space="preserve">le Guide parental public (39 fiches vérifiées, trilingues) capte les recherches Google et les questions posées aux IA, sans coût par clic.</w:t>
      </w:r>
    </w:p>
    <w:p>
      <w:pPr>
        <w:pStyle w:val="ListParagraph"/>
        <w:numPr>
          <w:ilvl w:val="0"/>
          <w:numId w:val="2"/>
        </w:numPr>
        <w:spacing w:after="80" w:line="290"/>
      </w:pPr>
      <w:r>
        <w:rPr>
          <w:rFonts w:ascii="Calibri" w:cs="Calibri" w:eastAsia="Calibri" w:hAnsi="Calibri"/>
          <w:b/>
          <w:bCs/>
          <w:sz w:val="22"/>
          <w:szCs w:val="22"/>
        </w:rPr>
        <w:t xml:space="preserve">Être recommandé par ceux qui accompagnent les familles : </w:t>
      </w:r>
      <w:r>
        <w:rPr>
          <w:rFonts w:ascii="Calibri" w:cs="Calibri" w:eastAsia="Calibri" w:hAnsi="Calibri"/>
          <w:sz w:val="22"/>
          <w:szCs w:val="22"/>
        </w:rPr>
        <w:t xml:space="preserve">CAF, médiateurs familiaux, avocats, PMI, CCAS, France Services. Un partenaire convaincu vaut des centaines de clics.</w:t>
      </w:r>
    </w:p>
    <w:p>
      <w:pPr>
        <w:pStyle w:val="ListParagraph"/>
        <w:numPr>
          <w:ilvl w:val="0"/>
          <w:numId w:val="2"/>
        </w:numPr>
        <w:spacing w:after="80" w:line="290"/>
      </w:pPr>
      <w:r>
        <w:rPr>
          <w:rFonts w:ascii="Calibri" w:cs="Calibri" w:eastAsia="Calibri" w:hAnsi="Calibri"/>
          <w:b/>
          <w:bCs/>
          <w:sz w:val="22"/>
          <w:szCs w:val="22"/>
        </w:rPr>
        <w:t xml:space="preserve">Être présent là où vivent les parents : </w:t>
      </w:r>
      <w:r>
        <w:rPr>
          <w:rFonts w:ascii="Calibri" w:cs="Calibri" w:eastAsia="Calibri" w:hAnsi="Calibri"/>
          <w:sz w:val="22"/>
          <w:szCs w:val="22"/>
        </w:rPr>
        <w:t xml:space="preserve">Facebook et WhatsApp d’abord, Instagram et TikTok ensuite, avec 150 € de publicité très ciblée sur la Guyane.</w:t>
      </w:r>
    </w:p>
    <w:p>
      <w:pPr>
        <w:pStyle w:val="Heading2"/>
        <w:spacing w:after="120" w:before="240"/>
      </w:pPr>
      <w:r>
        <w:rPr>
          <w:rFonts w:ascii="Calibri" w:cs="Calibri" w:eastAsia="Calibri" w:hAnsi="Calibri"/>
          <w:b/>
          <w:bCs/>
          <w:color w:val="2E7D32"/>
          <w:sz w:val="28"/>
          <w:szCs w:val="28"/>
        </w:rPr>
        <w:t xml:space="preserve">Le budget en un coup d’œil</w:t>
      </w:r>
    </w:p>
    <w:p>
      <w:pPr>
        <w:spacing w:after="200"/>
        <w:jc w:val="center"/>
      </w:pPr>
      <w:r>
        <w:drawing>
          <wp:inline distT="0" distB="0" distL="0" distR="0">
            <wp:extent cx="5143500" cy="24193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419350"/>
                    </a:xfrm>
                    <a:prstGeom prst="rect">
                      <a:avLst/>
                    </a:prstGeom>
                  </pic:spPr>
                </pic:pic>
              </a:graphicData>
            </a:graphic>
          </wp:inline>
        </w:drawing>
      </w:r>
    </w:p>
    <w:p>
      <w:pPr>
        <w:spacing w:after="240" w:before="0" w:line="300"/>
        <w:jc w:val="center"/>
      </w:pPr>
      <w:r>
        <w:rPr>
          <w:rFonts w:ascii="Calibri" w:cs="Calibri" w:eastAsia="Calibri" w:hAnsi="Calibri"/>
          <w:i/>
          <w:iCs/>
          <w:color w:val="5B6577"/>
          <w:sz w:val="19"/>
          <w:szCs w:val="19"/>
        </w:rPr>
        <w:t xml:space="preserve">Répartition mensuelle du budget de 300 €</w:t>
      </w:r>
    </w:p>
    <w:p>
      <w:pPr>
        <w:pStyle w:val="Heading1"/>
        <w:pageBreakBefore/>
        <w:spacing w:after="200"/>
      </w:pPr>
      <w:r>
        <w:rPr>
          <w:rFonts w:ascii="Calibri" w:cs="Calibri" w:eastAsia="Calibri" w:hAnsi="Calibri"/>
          <w:b/>
          <w:bCs/>
          <w:color w:val="0B2D5B"/>
          <w:sz w:val="36"/>
          <w:szCs w:val="36"/>
        </w:rPr>
        <w:t xml:space="preserve">2. Le marché et les parents que nous servons</w:t>
      </w:r>
    </w:p>
    <w:p>
      <w:pPr>
        <w:pStyle w:val="Heading2"/>
        <w:spacing w:after="120" w:before="240"/>
      </w:pPr>
      <w:r>
        <w:rPr>
          <w:rFonts w:ascii="Calibri" w:cs="Calibri" w:eastAsia="Calibri" w:hAnsi="Calibri"/>
          <w:b/>
          <w:bCs/>
          <w:color w:val="2E7D32"/>
          <w:sz w:val="28"/>
          <w:szCs w:val="28"/>
        </w:rPr>
        <w:t xml:space="preserve">Un besoin massif et local</w:t>
      </w:r>
    </w:p>
    <w:p>
      <w:pPr>
        <w:pStyle w:val="ListParagraph"/>
        <w:numPr>
          <w:ilvl w:val="0"/>
          <w:numId w:val="2"/>
        </w:numPr>
        <w:spacing w:after="80" w:line="290"/>
      </w:pPr>
      <w:r>
        <w:rPr>
          <w:rFonts w:ascii="Calibri" w:cs="Calibri" w:eastAsia="Calibri" w:hAnsi="Calibri"/>
          <w:b/>
          <w:bCs/>
          <w:sz w:val="22"/>
          <w:szCs w:val="22"/>
        </w:rPr>
        <w:t xml:space="preserve">292 400 habitants</w:t>
      </w:r>
      <w:r>
        <w:rPr>
          <w:rFonts w:ascii="Calibri" w:cs="Calibri" w:eastAsia="Calibri" w:hAnsi="Calibri"/>
          <w:sz w:val="22"/>
          <w:szCs w:val="22"/>
        </w:rPr>
        <w:t xml:space="preserve"> en Guyane au 1er janvier 2025 (INSEE).</w:t>
      </w:r>
    </w:p>
    <w:p>
      <w:pPr>
        <w:pStyle w:val="ListParagraph"/>
        <w:numPr>
          <w:ilvl w:val="0"/>
          <w:numId w:val="2"/>
        </w:numPr>
        <w:spacing w:after="80" w:line="290"/>
      </w:pPr>
      <w:r>
        <w:rPr>
          <w:rFonts w:ascii="Calibri" w:cs="Calibri" w:eastAsia="Calibri" w:hAnsi="Calibri"/>
          <w:sz w:val="22"/>
          <w:szCs w:val="22"/>
        </w:rPr>
        <w:t xml:space="preserve">La monoparentalité y est très répandue : </w:t>
      </w:r>
      <w:r>
        <w:rPr>
          <w:rFonts w:ascii="Calibri" w:cs="Calibri" w:eastAsia="Calibri" w:hAnsi="Calibri"/>
          <w:b/>
          <w:bCs/>
          <w:sz w:val="22"/>
          <w:szCs w:val="22"/>
        </w:rPr>
        <w:t xml:space="preserve">39,1 % des familles</w:t>
      </w:r>
      <w:r>
        <w:rPr>
          <w:rFonts w:ascii="Calibri" w:cs="Calibri" w:eastAsia="Calibri" w:hAnsi="Calibri"/>
          <w:sz w:val="22"/>
          <w:szCs w:val="22"/>
        </w:rPr>
        <w:t xml:space="preserve"> étaient monoparentales en 2013 (INSEE), environ </w:t>
      </w:r>
      <w:r>
        <w:rPr>
          <w:rFonts w:ascii="Calibri" w:cs="Calibri" w:eastAsia="Calibri" w:hAnsi="Calibri"/>
          <w:b/>
          <w:bCs/>
          <w:sz w:val="22"/>
          <w:szCs w:val="22"/>
        </w:rPr>
        <w:t xml:space="preserve">45 % en 2020</w:t>
      </w:r>
      <w:r>
        <w:rPr>
          <w:rFonts w:ascii="Calibri" w:cs="Calibri" w:eastAsia="Calibri" w:hAnsi="Calibri"/>
          <w:sz w:val="22"/>
          <w:szCs w:val="22"/>
        </w:rPr>
        <w:t xml:space="preserve"> selon le diagnostic du Pacte local des solidarités (préfecture, 2023). L’INSEE titre en 2025 que la moitié des enfants vivent en famille monoparentale.</w:t>
      </w:r>
    </w:p>
    <w:p>
      <w:pPr>
        <w:pStyle w:val="ListParagraph"/>
        <w:numPr>
          <w:ilvl w:val="0"/>
          <w:numId w:val="2"/>
        </w:numPr>
        <w:spacing w:after="80" w:line="290"/>
      </w:pPr>
      <w:r>
        <w:rPr>
          <w:rFonts w:ascii="Calibri" w:cs="Calibri" w:eastAsia="Calibri" w:hAnsi="Calibri"/>
          <w:sz w:val="22"/>
          <w:szCs w:val="22"/>
        </w:rPr>
        <w:t xml:space="preserve">Estimation de travail : </w:t>
      </w:r>
      <w:r>
        <w:rPr>
          <w:rFonts w:ascii="Calibri" w:cs="Calibri" w:eastAsia="Calibri" w:hAnsi="Calibri"/>
          <w:b/>
          <w:bCs/>
          <w:sz w:val="22"/>
          <w:szCs w:val="22"/>
        </w:rPr>
        <w:t xml:space="preserve">plus de 20 000 familles monoparentales</w:t>
      </w:r>
      <w:r>
        <w:rPr>
          <w:rFonts w:ascii="Calibri" w:cs="Calibri" w:eastAsia="Calibri" w:hAnsi="Calibri"/>
          <w:sz w:val="22"/>
          <w:szCs w:val="22"/>
        </w:rPr>
        <w:t xml:space="preserve">, et autant d’autres parents concernés (le parent qui ne vit pas avec l’enfant). À valider avec les données détaillées du recensement.</w:t>
      </w:r>
    </w:p>
    <w:p>
      <w:pPr>
        <w:pStyle w:val="ListParagraph"/>
        <w:numPr>
          <w:ilvl w:val="0"/>
          <w:numId w:val="2"/>
        </w:numPr>
        <w:spacing w:after="80" w:line="290"/>
      </w:pPr>
      <w:r>
        <w:rPr>
          <w:rFonts w:ascii="Calibri" w:cs="Calibri" w:eastAsia="Calibri" w:hAnsi="Calibri"/>
          <w:sz w:val="22"/>
          <w:szCs w:val="22"/>
        </w:rPr>
        <w:t xml:space="preserve">Un territoire multilingue : forte communauté </w:t>
      </w:r>
      <w:r>
        <w:rPr>
          <w:rFonts w:ascii="Calibri" w:cs="Calibri" w:eastAsia="Calibri" w:hAnsi="Calibri"/>
          <w:b/>
          <w:bCs/>
          <w:sz w:val="22"/>
          <w:szCs w:val="22"/>
        </w:rPr>
        <w:t xml:space="preserve">brésilienne</w:t>
      </w:r>
      <w:r>
        <w:rPr>
          <w:rFonts w:ascii="Calibri" w:cs="Calibri" w:eastAsia="Calibri" w:hAnsi="Calibri"/>
          <w:sz w:val="22"/>
          <w:szCs w:val="22"/>
        </w:rPr>
        <w:t xml:space="preserve"> (portugais), voisins anglophones, ce que l’application couvre déjà.</w:t>
      </w:r>
    </w:p>
    <w:p>
      <w:pPr>
        <w:pStyle w:val="ListParagraph"/>
        <w:numPr>
          <w:ilvl w:val="0"/>
          <w:numId w:val="2"/>
        </w:numPr>
        <w:spacing w:after="80" w:line="290"/>
      </w:pPr>
      <w:r>
        <w:rPr>
          <w:rFonts w:ascii="Calibri" w:cs="Calibri" w:eastAsia="Calibri" w:hAnsi="Calibri"/>
          <w:sz w:val="22"/>
          <w:szCs w:val="22"/>
        </w:rPr>
        <w:t xml:space="preserve">Des démarches spécifiques et mal connues (Caf de la Guyane, ARIPA, JAF de Cayenne, autorisation de sortie du territoire vers le Brésil ou le Suriname) : exactement le contenu du Guide.</w:t>
      </w:r>
    </w:p>
    <w:p>
      <w:pPr>
        <w:pStyle w:val="Heading2"/>
        <w:spacing w:after="120" w:before="240"/>
      </w:pPr>
      <w:r>
        <w:rPr>
          <w:rFonts w:ascii="Calibri" w:cs="Calibri" w:eastAsia="Calibri" w:hAnsi="Calibri"/>
          <w:b/>
          <w:bCs/>
          <w:color w:val="2E7D32"/>
          <w:sz w:val="28"/>
          <w:szCs w:val="28"/>
        </w:rPr>
        <w:t xml:space="preserve">Trois profils de parents (issus de notre bêta-test)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700"/>
        <w:gridCol w:w="2538"/>
      </w:tblGrid>
      <w:tr>
        <w:trPr>
          <w:tblHeader/>
        </w:trPr>
        <w:tc>
          <w:tcPr>
            <w:tcW w:type="dxa" w:w="180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Profil</w:t>
            </w:r>
          </w:p>
        </w:tc>
        <w:tc>
          <w:tcPr>
            <w:tcW w:type="dxa" w:w="260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Situation</w:t>
            </w:r>
          </w:p>
        </w:tc>
        <w:tc>
          <w:tcPr>
            <w:tcW w:type="dxa" w:w="270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Ce qu’il cherche</w:t>
            </w:r>
          </w:p>
        </w:tc>
        <w:tc>
          <w:tcPr>
            <w:tcW w:type="dxa" w:w="2538"/>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Où le trouver</w:t>
            </w:r>
          </w:p>
        </w:tc>
      </w:tr>
      <w:tr>
        <w:trPr>
          <w:cantSplit/>
        </w:trPr>
        <w:tc>
          <w:tcPr>
            <w:tcW w:type="dxa" w:w="18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Nadia, 34 ans</w:t>
            </w:r>
          </w:p>
          <w:p>
            <w:pPr>
              <w:spacing w:after="30"/>
              <w:jc w:val="left"/>
            </w:pPr>
            <w:r>
              <w:rPr>
                <w:rFonts w:ascii="Calibri" w:cs="Calibri" w:eastAsia="Calibri" w:hAnsi="Calibri"/>
                <w:b/>
                <w:bCs/>
                <w:sz w:val="19"/>
                <w:szCs w:val="19"/>
              </w:rPr>
              <w:t xml:space="preserve">mère, Cayenne</w:t>
            </w:r>
          </w:p>
        </w:tc>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Deux enfants, résidence principale chez elle, téléphone uniquement, peu à l’aise avec le numérique.</w:t>
            </w:r>
          </w:p>
        </w:tc>
        <w:tc>
          <w:tcPr>
            <w:tcW w:type="dxa" w:w="27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Ne plus rien perdre (papiers, rendez-vous), faire payer la pension, des messages calmes avec le père.</w:t>
            </w:r>
          </w:p>
        </w:tc>
        <w:tc>
          <w:tcPr>
            <w:tcW w:type="dxa" w:w="25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Facebook, groupes de mamans, WhatsApp, PMI, Caf, radio.</w:t>
            </w:r>
          </w:p>
        </w:tc>
      </w:tr>
      <w:tr>
        <w:trPr>
          <w:cantSplit/>
        </w:trPr>
        <w:tc>
          <w:tcPr>
            <w:tcW w:type="dxa" w:w="18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David, 41 ans</w:t>
            </w:r>
          </w:p>
          <w:p>
            <w:pPr>
              <w:spacing w:after="30"/>
              <w:jc w:val="left"/>
            </w:pPr>
            <w:r>
              <w:rPr>
                <w:rFonts w:ascii="Calibri" w:cs="Calibri" w:eastAsia="Calibri" w:hAnsi="Calibri"/>
                <w:b/>
                <w:bCs/>
                <w:sz w:val="19"/>
                <w:szCs w:val="19"/>
              </w:rPr>
              <w:t xml:space="preserve">père, Kourou</w:t>
            </w:r>
          </w:p>
        </w:tc>
        <w:tc>
          <w:tcPr>
            <w:tcW w:type="dxa" w:w="26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Garde alternée, parfois à distance, à l’aise avec l’ordinateur, anglophone.</w:t>
            </w:r>
          </w:p>
        </w:tc>
        <w:tc>
          <w:tcPr>
            <w:tcW w:type="dxa" w:w="27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Un cadre clair : calendrier partagé, traces écrites, dossier pour le juge.</w:t>
            </w:r>
          </w:p>
        </w:tc>
        <w:tc>
          <w:tcPr>
            <w:tcW w:type="dxa" w:w="25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Google, LinkedIn, avocats, médiateurs, recherche « garde alternée ».</w:t>
            </w:r>
          </w:p>
        </w:tc>
      </w:tr>
      <w:tr>
        <w:trPr>
          <w:cantSplit/>
        </w:trPr>
        <w:tc>
          <w:tcPr>
            <w:tcW w:type="dxa" w:w="18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Ana, 29 ans</w:t>
            </w:r>
          </w:p>
          <w:p>
            <w:pPr>
              <w:spacing w:after="30"/>
              <w:jc w:val="left"/>
            </w:pPr>
            <w:r>
              <w:rPr>
                <w:rFonts w:ascii="Calibri" w:cs="Calibri" w:eastAsia="Calibri" w:hAnsi="Calibri"/>
                <w:b/>
                <w:bCs/>
                <w:sz w:val="19"/>
                <w:szCs w:val="19"/>
              </w:rPr>
              <w:t xml:space="preserve">mère, Saint-Laurent</w:t>
            </w:r>
          </w:p>
        </w:tc>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Brésilienne, lit mieux le portugais, tablette, offre gratuite.</w:t>
            </w:r>
          </w:p>
        </w:tc>
        <w:tc>
          <w:tcPr>
            <w:tcW w:type="dxa" w:w="27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Comprendre ses droits en Guyane dans sa langue, être accompagnée sans payer d’emblée.</w:t>
            </w:r>
          </w:p>
        </w:tc>
        <w:tc>
          <w:tcPr>
            <w:tcW w:type="dxa" w:w="25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Facebook et WhatsApp en portugais, associations, bouche-à-oreille.</w:t>
            </w:r>
          </w:p>
        </w:tc>
      </w:tr>
    </w:tbl>
    <w:p>
      <w:pPr>
        <w:spacing w:after="120" w:before="0" w:line="300"/>
      </w:pPr>
      <w:r>
        <w:rPr>
          <w:rFonts w:ascii="Calibri" w:cs="Calibri" w:eastAsia="Calibri" w:hAnsi="Calibri"/>
          <w:sz w:val="22"/>
          <w:szCs w:val="22"/>
        </w:rPr>
        <w:t xml:space="preserve"/>
      </w:r>
    </w:p>
    <w:p>
      <w:pPr>
        <w:pStyle w:val="Heading2"/>
        <w:pageBreakBefore/>
        <w:spacing w:after="120" w:before="240"/>
      </w:pPr>
      <w:r>
        <w:rPr>
          <w:rFonts w:ascii="Calibri" w:cs="Calibri" w:eastAsia="Calibri" w:hAnsi="Calibri"/>
          <w:b/>
          <w:bCs/>
          <w:color w:val="2E7D32"/>
          <w:sz w:val="28"/>
          <w:szCs w:val="28"/>
        </w:rPr>
        <w:t xml:space="preserve">Positionnement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0B2D5B" w:sz="24"/>
              <w:bottom w:val="none"/>
              <w:right w:val="none"/>
            </w:tcBorders>
            <w:shd w:fill="E8EEF8" w:color="auto" w:val="clear"/>
            <w:tcMar>
              <w:top w:type="dxa" w:w="140"/>
              <w:left w:type="dxa" w:w="220"/>
              <w:bottom w:type="dxa" w:w="140"/>
              <w:right w:type="dxa" w:w="200"/>
            </w:tcMar>
          </w:tcPr>
          <w:p>
            <w:pPr>
              <w:spacing w:after="80" w:before="0" w:line="300"/>
            </w:pPr>
            <w:r>
              <w:rPr>
                <w:rFonts w:ascii="Calibri" w:cs="Calibri" w:eastAsia="Calibri" w:hAnsi="Calibri"/>
                <w:b/>
                <w:bCs/>
                <w:color w:val="0B2D5B"/>
                <w:sz w:val="23"/>
                <w:szCs w:val="23"/>
              </w:rPr>
              <w:t xml:space="preserve">Notre promesse</w:t>
            </w:r>
          </w:p>
          <w:p>
            <w:pPr>
              <w:spacing w:after="60" w:before="0" w:line="300"/>
            </w:pPr>
            <w:r>
              <w:rPr>
                <w:rFonts w:ascii="Calibri" w:cs="Calibri" w:eastAsia="Calibri" w:hAnsi="Calibri"/>
                <w:b/>
                <w:bCs/>
                <w:sz w:val="22"/>
                <w:szCs w:val="22"/>
              </w:rPr>
              <w:t xml:space="preserve">« Tout pour votre enfant, enfin au même endroit. »</w:t>
            </w:r>
            <w:r>
              <w:rPr>
                <w:rFonts w:ascii="Calibri" w:cs="Calibri" w:eastAsia="Calibri" w:hAnsi="Calibri"/>
                <w:sz w:val="22"/>
                <w:szCs w:val="22"/>
              </w:rPr>
              <w:t xml:space="preserve"> Une application locale, sérieuse et bienveillante, neutre entre les deux parents, qui aide à s’organiser, à apaiser les échanges et à faire valoir ses droits — sans remplacer l’avocat.</w:t>
            </w:r>
          </w:p>
        </w:tc>
      </w:tr>
    </w:tbl>
    <w:p>
      <w:pPr>
        <w:spacing w:after="120" w:before="0" w:line="30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Ce qui nous distingue</w:t>
            </w:r>
          </w:p>
        </w:tc>
        <w:tc>
          <w:tcPr>
            <w:tcW w:type="dxa" w:w="7038"/>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Pourquoi c’est décisif</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Pensée pour la Guyane</w:t>
            </w:r>
          </w:p>
        </w:tc>
        <w:tc>
          <w:tcPr>
            <w:tcW w:type="dxa" w:w="70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Guide de 39 démarches locales vérifiées avec sources officielles ; les applications de coparentalité généralistes ne couvrent pas ces démarches.</w:t>
            </w:r>
          </w:p>
        </w:tc>
      </w:tr>
      <w:tr>
        <w:trPr>
          <w:cantSplit/>
        </w:trPr>
        <w:tc>
          <w:tcPr>
            <w:tcW w:type="dxa" w:w="26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Trilingue FR / EN / PT</w:t>
            </w:r>
          </w:p>
        </w:tc>
        <w:tc>
          <w:tcPr>
            <w:tcW w:type="dxa" w:w="70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Touche les familles brésiliennes et anglophones que personne ne sert dans leur langue.</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Gratuit pour commencer</w:t>
            </w:r>
          </w:p>
        </w:tc>
        <w:tc>
          <w:tcPr>
            <w:tcW w:type="dxa" w:w="70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Lève la barrière du prix dans un territoire où le pouvoir d’achat est contraint.</w:t>
            </w:r>
          </w:p>
        </w:tc>
      </w:tr>
      <w:tr>
        <w:trPr>
          <w:cantSplit/>
        </w:trPr>
        <w:tc>
          <w:tcPr>
            <w:tcW w:type="dxa" w:w="26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Sécurité et preuves</w:t>
            </w:r>
          </w:p>
        </w:tc>
        <w:tc>
          <w:tcPr>
            <w:tcW w:type="dxa" w:w="70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Coffre-fort chiffré en transit et au repos, journal daté, attestations de témoins, dossier JAF exportable.</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Coach IA neutre</w:t>
            </w:r>
          </w:p>
        </w:tc>
        <w:tc>
          <w:tcPr>
            <w:tcW w:type="dxa" w:w="70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Aide à reformuler un message tendu : un bénéfice concret et immédiat, facile à montrer en vidéo.</w:t>
            </w:r>
          </w:p>
        </w:tc>
      </w:tr>
    </w:tbl>
    <w:p>
      <w:pPr>
        <w:pStyle w:val="Heading1"/>
        <w:pageBreakBefore/>
        <w:spacing w:after="200"/>
      </w:pPr>
      <w:r>
        <w:rPr>
          <w:rFonts w:ascii="Calibri" w:cs="Calibri" w:eastAsia="Calibri" w:hAnsi="Calibri"/>
          <w:b/>
          <w:bCs/>
          <w:color w:val="0B2D5B"/>
          <w:sz w:val="36"/>
          <w:szCs w:val="36"/>
        </w:rPr>
        <w:t xml:space="preserve">3. L’offre et le budget</w:t>
      </w:r>
    </w:p>
    <w:p>
      <w:pPr>
        <w:pStyle w:val="Heading2"/>
        <w:spacing w:after="120" w:before="240"/>
      </w:pPr>
      <w:r>
        <w:rPr>
          <w:rFonts w:ascii="Calibri" w:cs="Calibri" w:eastAsia="Calibri" w:hAnsi="Calibri"/>
          <w:b/>
          <w:bCs/>
          <w:color w:val="2E7D32"/>
          <w:sz w:val="28"/>
          <w:szCs w:val="28"/>
        </w:rPr>
        <w:t xml:space="preserve">Les formules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38"/>
      </w:tblGrid>
      <w:tr>
        <w:trPr>
          <w:tblHeader/>
        </w:trPr>
        <w:tc>
          <w:tcPr>
            <w:tcW w:type="dxa" w:w="240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Formule</w:t>
            </w:r>
          </w:p>
        </w:tc>
        <w:tc>
          <w:tcPr>
            <w:tcW w:type="dxa" w:w="220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Prix</w:t>
            </w:r>
          </w:p>
        </w:tc>
        <w:tc>
          <w:tcPr>
            <w:tcW w:type="dxa" w:w="5038"/>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Rôle commercial</w:t>
            </w:r>
          </w:p>
        </w:tc>
      </w:tr>
      <w:tr>
        <w:trPr>
          <w:cantSplit/>
        </w:trPr>
        <w:tc>
          <w:tcPr>
            <w:tcW w:type="dxa" w:w="24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Gratuit</w:t>
            </w:r>
          </w:p>
        </w:tc>
        <w:tc>
          <w:tcPr>
            <w:tcW w:type="dxa" w:w="22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0 €</w:t>
            </w:r>
          </w:p>
        </w:tc>
        <w:tc>
          <w:tcPr>
            <w:tcW w:type="dxa" w:w="50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Porte d’entrée : 2 Go, Guide complet, journal, calendrier. Objectif : inscriptions massives.</w:t>
            </w:r>
          </w:p>
        </w:tc>
      </w:tr>
      <w:tr>
        <w:trPr>
          <w:cantSplit/>
        </w:trPr>
        <w:tc>
          <w:tcPr>
            <w:tcW w:type="dxa" w:w="24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Premium</w:t>
            </w:r>
          </w:p>
        </w:tc>
        <w:tc>
          <w:tcPr>
            <w:tcW w:type="dxa" w:w="22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11,99 €/mois ou 99 €/an</w:t>
            </w:r>
          </w:p>
        </w:tc>
        <w:tc>
          <w:tcPr>
            <w:tcW w:type="dxa" w:w="50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Offre principale : 10 Go, Coach IA étendu, dossier JAF. Mettre en avant l’annuel (3 mois offerts).</w:t>
            </w:r>
          </w:p>
        </w:tc>
      </w:tr>
      <w:tr>
        <w:trPr>
          <w:cantSplit/>
        </w:trPr>
        <w:tc>
          <w:tcPr>
            <w:tcW w:type="dxa" w:w="24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Coparentalité+</w:t>
            </w:r>
          </w:p>
        </w:tc>
        <w:tc>
          <w:tcPr>
            <w:tcW w:type="dxa" w:w="22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19,99 €/mois ou 189 €/an</w:t>
            </w:r>
          </w:p>
        </w:tc>
        <w:tc>
          <w:tcPr>
            <w:tcW w:type="dxa" w:w="50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Les deux parents liés profitent des avantages. Prix annuel à confirmer avant de le promouvoir.</w:t>
            </w:r>
          </w:p>
        </w:tc>
      </w:tr>
    </w:tbl>
    <w:p>
      <w:pPr>
        <w:spacing w:after="120" w:before="0" w:line="300"/>
      </w:pPr>
      <w:r>
        <w:rPr>
          <w:rFonts w:ascii="Calibri" w:cs="Calibri" w:eastAsia="Calibri" w:hAnsi="Calibri"/>
          <w:sz w:val="22"/>
          <w:szCs w:val="22"/>
        </w:rPr>
        <w:t xml:space="preserve"/>
      </w:r>
    </w:p>
    <w:p>
      <w:pPr>
        <w:pStyle w:val="ListParagraph"/>
        <w:numPr>
          <w:ilvl w:val="0"/>
          <w:numId w:val="2"/>
        </w:numPr>
        <w:spacing w:after="80" w:line="290"/>
      </w:pPr>
      <w:r>
        <w:rPr>
          <w:rFonts w:ascii="Calibri" w:cs="Calibri" w:eastAsia="Calibri" w:hAnsi="Calibri"/>
          <w:b/>
          <w:bCs/>
          <w:sz w:val="22"/>
          <w:szCs w:val="22"/>
        </w:rPr>
        <w:t xml:space="preserve">Parrainage : </w:t>
      </w:r>
      <w:r>
        <w:rPr>
          <w:rFonts w:ascii="Calibri" w:cs="Calibri" w:eastAsia="Calibri" w:hAnsi="Calibri"/>
          <w:sz w:val="22"/>
          <w:szCs w:val="22"/>
        </w:rPr>
        <w:t xml:space="preserve">1 mois Premium offert au parrain et au filleul (à mettre en place au 6e mois).</w:t>
      </w:r>
    </w:p>
    <w:p>
      <w:pPr>
        <w:pStyle w:val="ListParagraph"/>
        <w:numPr>
          <w:ilvl w:val="0"/>
          <w:numId w:val="2"/>
        </w:numPr>
        <w:spacing w:after="80" w:line="290"/>
      </w:pPr>
      <w:r>
        <w:rPr>
          <w:rFonts w:ascii="Calibri" w:cs="Calibri" w:eastAsia="Calibri" w:hAnsi="Calibri"/>
          <w:b/>
          <w:bCs/>
          <w:sz w:val="22"/>
          <w:szCs w:val="22"/>
        </w:rPr>
        <w:t xml:space="preserve">Moments forts : </w:t>
      </w:r>
      <w:r>
        <w:rPr>
          <w:rFonts w:ascii="Calibri" w:cs="Calibri" w:eastAsia="Calibri" w:hAnsi="Calibri"/>
          <w:sz w:val="22"/>
          <w:szCs w:val="22"/>
        </w:rPr>
        <w:t xml:space="preserve">rentrée scolaire (août-septembre), fêtes de fin d’année, déclaration d’impôts (pension alimentaire) : offres annuelles à −20 %.</w:t>
      </w:r>
    </w:p>
    <w:p>
      <w:pPr>
        <w:pStyle w:val="Heading2"/>
        <w:spacing w:after="120" w:before="240"/>
      </w:pPr>
      <w:r>
        <w:rPr>
          <w:rFonts w:ascii="Calibri" w:cs="Calibri" w:eastAsia="Calibri" w:hAnsi="Calibri"/>
          <w:b/>
          <w:bCs/>
          <w:color w:val="2E7D32"/>
          <w:sz w:val="28"/>
          <w:szCs w:val="28"/>
        </w:rPr>
        <w:t xml:space="preserve">Le budget détaillé (300 €/mois)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5038"/>
      </w:tblGrid>
      <w:tr>
        <w:trPr>
          <w:tblHeader/>
        </w:trPr>
        <w:tc>
          <w:tcPr>
            <w:tcW w:type="dxa" w:w="330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Poste</w:t>
            </w:r>
          </w:p>
        </w:tc>
        <w:tc>
          <w:tcPr>
            <w:tcW w:type="dxa" w:w="130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Montant</w:t>
            </w:r>
          </w:p>
        </w:tc>
        <w:tc>
          <w:tcPr>
            <w:tcW w:type="dxa" w:w="5038"/>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Contenu</w:t>
            </w:r>
          </w:p>
        </w:tc>
      </w:tr>
      <w:tr>
        <w:trPr>
          <w:cantSplit/>
        </w:trPr>
        <w:tc>
          <w:tcPr>
            <w:tcW w:type="dxa" w:w="33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Publicité Meta (Facebook + Instagram)</w:t>
            </w:r>
          </w:p>
        </w:tc>
        <w:tc>
          <w:tcPr>
            <w:tcW w:type="dxa" w:w="13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110 €</w:t>
            </w:r>
          </w:p>
        </w:tc>
        <w:tc>
          <w:tcPr>
            <w:tcW w:type="dxa" w:w="50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Campagnes géolocalisées Guyane, FR + PT ; conversion « inscription gratuite » et reciblage des visiteurs.</w:t>
            </w:r>
          </w:p>
        </w:tc>
      </w:tr>
      <w:tr>
        <w:trPr>
          <w:cantSplit/>
        </w:trPr>
        <w:tc>
          <w:tcPr>
            <w:tcW w:type="dxa" w:w="33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Publicité Google (Search)</w:t>
            </w:r>
          </w:p>
        </w:tc>
        <w:tc>
          <w:tcPr>
            <w:tcW w:type="dxa" w:w="13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40 €</w:t>
            </w:r>
          </w:p>
        </w:tc>
        <w:tc>
          <w:tcPr>
            <w:tcW w:type="dxa" w:w="50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Mots-clés à forte intention : « pension alimentaire Guyane », « garde alternée Cayenne », « saisir le JAF »…</w:t>
            </w:r>
          </w:p>
        </w:tc>
      </w:tr>
      <w:tr>
        <w:trPr>
          <w:cantSplit/>
        </w:trPr>
        <w:tc>
          <w:tcPr>
            <w:tcW w:type="dxa" w:w="33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Créateurs locaux / micro-influence</w:t>
            </w:r>
          </w:p>
        </w:tc>
        <w:tc>
          <w:tcPr>
            <w:tcW w:type="dxa" w:w="13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60 €</w:t>
            </w:r>
          </w:p>
        </w:tc>
        <w:tc>
          <w:tcPr>
            <w:tcW w:type="dxa" w:w="50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Une collaboration par mois avec un créateur guyanais (parentalité, vie locale), 1 000 à 10 000 abonnés.</w:t>
            </w:r>
          </w:p>
        </w:tc>
      </w:tr>
      <w:tr>
        <w:trPr>
          <w:cantSplit/>
        </w:trPr>
        <w:tc>
          <w:tcPr>
            <w:tcW w:type="dxa" w:w="33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Terrain et partenaires</w:t>
            </w:r>
          </w:p>
        </w:tc>
        <w:tc>
          <w:tcPr>
            <w:tcW w:type="dxa" w:w="13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50 €</w:t>
            </w:r>
          </w:p>
        </w:tc>
        <w:tc>
          <w:tcPr>
            <w:tcW w:type="dxa" w:w="50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Flyers et affiches avec QR code, kakémono (amorti), présence aux salons, forums des associations.</w:t>
            </w:r>
          </w:p>
        </w:tc>
      </w:tr>
      <w:tr>
        <w:trPr>
          <w:cantSplit/>
        </w:trPr>
        <w:tc>
          <w:tcPr>
            <w:tcW w:type="dxa" w:w="33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Outils</w:t>
            </w:r>
          </w:p>
        </w:tc>
        <w:tc>
          <w:tcPr>
            <w:tcW w:type="dxa" w:w="13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40 €</w:t>
            </w:r>
          </w:p>
        </w:tc>
        <w:tc>
          <w:tcPr>
            <w:tcW w:type="dxa" w:w="50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Canva Pro, outil de planification des publications, petites ressources visuelles.</w:t>
            </w:r>
          </w:p>
        </w:tc>
      </w:tr>
      <w:tr>
        <w:trPr>
          <w:cantSplit/>
        </w:trPr>
        <w:tc>
          <w:tcPr>
            <w:tcW w:type="dxa" w:w="33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Total</w:t>
            </w:r>
          </w:p>
        </w:tc>
        <w:tc>
          <w:tcPr>
            <w:tcW w:type="dxa" w:w="13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300 €</w:t>
            </w:r>
          </w:p>
        </w:tc>
        <w:tc>
          <w:tcPr>
            <w:tcW w:type="dxa" w:w="50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Dont 150 € de publicité payante.</w:t>
            </w:r>
          </w:p>
        </w:tc>
      </w:tr>
    </w:tbl>
    <w:p>
      <w:pPr>
        <w:spacing w:after="120" w:before="0" w:line="30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2E7D32" w:sz="24"/>
              <w:bottom w:val="none"/>
              <w:right w:val="none"/>
            </w:tcBorders>
            <w:shd w:fill="E8F5E9" w:color="auto" w:val="clear"/>
            <w:tcMar>
              <w:top w:type="dxa" w:w="140"/>
              <w:left w:type="dxa" w:w="220"/>
              <w:bottom w:type="dxa" w:w="140"/>
              <w:right w:type="dxa" w:w="200"/>
            </w:tcMar>
          </w:tcPr>
          <w:p>
            <w:pPr>
              <w:spacing w:after="80" w:before="0" w:line="300"/>
            </w:pPr>
            <w:r>
              <w:rPr>
                <w:rFonts w:ascii="Calibri" w:cs="Calibri" w:eastAsia="Calibri" w:hAnsi="Calibri"/>
                <w:b/>
                <w:bCs/>
                <w:color w:val="2E7D32"/>
                <w:sz w:val="23"/>
                <w:szCs w:val="23"/>
              </w:rPr>
              <w:t xml:space="preserve">Règle d’or du budget</w:t>
            </w:r>
          </w:p>
          <w:p>
            <w:pPr>
              <w:spacing w:after="60" w:before="0" w:line="300"/>
            </w:pPr>
            <w:r>
              <w:rPr>
                <w:rFonts w:ascii="Calibri" w:cs="Calibri" w:eastAsia="Calibri" w:hAnsi="Calibri"/>
                <w:sz w:val="22"/>
                <w:szCs w:val="22"/>
              </w:rPr>
              <w:t xml:space="preserve">Chaque mois, </w:t>
            </w:r>
            <w:r>
              <w:rPr>
                <w:rFonts w:ascii="Calibri" w:cs="Calibri" w:eastAsia="Calibri" w:hAnsi="Calibri"/>
                <w:b/>
                <w:bCs/>
                <w:sz w:val="22"/>
                <w:szCs w:val="22"/>
              </w:rPr>
              <w:t xml:space="preserve">20 % du budget publicitaire</w:t>
            </w:r>
            <w:r>
              <w:rPr>
                <w:rFonts w:ascii="Calibri" w:cs="Calibri" w:eastAsia="Calibri" w:hAnsi="Calibri"/>
                <w:sz w:val="22"/>
                <w:szCs w:val="22"/>
              </w:rPr>
              <w:t xml:space="preserve"> sert à tester une nouvelle idée (visuel, audience, langue). Ce qui marche est renforcé le mois suivant, ce qui ne marche pas est coupé. On ne dépense jamais sans mesurer.</w:t>
            </w:r>
          </w:p>
        </w:tc>
      </w:tr>
    </w:tbl>
    <w:p>
      <w:pPr>
        <w:pStyle w:val="Heading1"/>
        <w:pageBreakBefore/>
        <w:spacing w:after="200"/>
      </w:pPr>
      <w:r>
        <w:rPr>
          <w:rFonts w:ascii="Calibri" w:cs="Calibri" w:eastAsia="Calibri" w:hAnsi="Calibri"/>
          <w:b/>
          <w:bCs/>
          <w:color w:val="0B2D5B"/>
          <w:sz w:val="36"/>
          <w:szCs w:val="36"/>
        </w:rPr>
        <w:t xml:space="preserve">4. Les canaux d’acquisition</w:t>
      </w:r>
    </w:p>
    <w:p>
      <w:pPr>
        <w:spacing w:after="200"/>
        <w:jc w:val="center"/>
      </w:pPr>
      <w:r>
        <w:drawing>
          <wp:inline distT="0" distB="0" distL="0" distR="0">
            <wp:extent cx="5143500" cy="30861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86100"/>
                    </a:xfrm>
                    <a:prstGeom prst="rect">
                      <a:avLst/>
                    </a:prstGeom>
                  </pic:spPr>
                </pic:pic>
              </a:graphicData>
            </a:graphic>
          </wp:inline>
        </w:drawing>
      </w:r>
    </w:p>
    <w:p>
      <w:pPr>
        <w:spacing w:after="240" w:before="0" w:line="300"/>
        <w:jc w:val="center"/>
      </w:pPr>
      <w:r>
        <w:rPr>
          <w:rFonts w:ascii="Calibri" w:cs="Calibri" w:eastAsia="Calibri" w:hAnsi="Calibri"/>
          <w:i/>
          <w:iCs/>
          <w:color w:val="5B6577"/>
          <w:sz w:val="19"/>
          <w:szCs w:val="19"/>
        </w:rPr>
        <w:t xml:space="preserve">Tous les canaux renvoient vers l’inscription gratuite sur lienparental.fr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600"/>
        <w:gridCol w:w="2338"/>
      </w:tblGrid>
      <w:tr>
        <w:trPr>
          <w:tblHeader/>
        </w:trPr>
        <w:tc>
          <w:tcPr>
            <w:tcW w:type="dxa" w:w="170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Canal</w:t>
            </w:r>
          </w:p>
        </w:tc>
        <w:tc>
          <w:tcPr>
            <w:tcW w:type="dxa" w:w="300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Objectif et usage</w:t>
            </w:r>
          </w:p>
        </w:tc>
        <w:tc>
          <w:tcPr>
            <w:tcW w:type="dxa" w:w="260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Rythme</w:t>
            </w:r>
          </w:p>
        </w:tc>
        <w:tc>
          <w:tcPr>
            <w:tcW w:type="dxa" w:w="2338"/>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Indicateur clé</w:t>
            </w:r>
          </w:p>
        </w:tc>
      </w:tr>
      <w:tr>
        <w:trPr>
          <w:cantSplit/>
        </w:trPr>
        <w:tc>
          <w:tcPr>
            <w:tcW w:type="dxa" w:w="17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Facebook</w:t>
            </w:r>
          </w:p>
        </w:tc>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Canal n°1 en Guyane : page + participation utile dans les groupes locaux (parents, quartiers, entraide), publicité ciblée.</w:t>
            </w:r>
          </w:p>
        </w:tc>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4 publications/sem. + 3 réponses utiles/sem. dans des groupes</w:t>
            </w:r>
          </w:p>
        </w:tc>
        <w:tc>
          <w:tcPr>
            <w:tcW w:type="dxa" w:w="23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Clics vers le site, inscriptions</w:t>
            </w:r>
          </w:p>
        </w:tc>
      </w:tr>
      <w:tr>
        <w:trPr>
          <w:cantSplit/>
        </w:trPr>
        <w:tc>
          <w:tcPr>
            <w:tcW w:type="dxa" w:w="17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WhatsApp</w:t>
            </w:r>
          </w:p>
        </w:tc>
        <w:tc>
          <w:tcPr>
            <w:tcW w:type="dxa" w:w="30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Canal de diffusion « Lien Parental Guyane » + bouton de partage d’une fiche du Guide en 1 clic.</w:t>
            </w:r>
          </w:p>
        </w:tc>
        <w:tc>
          <w:tcPr>
            <w:tcW w:type="dxa" w:w="26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1 message utile/sem. (jamais plus)</w:t>
            </w:r>
          </w:p>
        </w:tc>
        <w:tc>
          <w:tcPr>
            <w:tcW w:type="dxa" w:w="23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Abonnés au canal, partages</w:t>
            </w:r>
          </w:p>
        </w:tc>
      </w:tr>
      <w:tr>
        <w:trPr>
          <w:cantSplit/>
        </w:trPr>
        <w:tc>
          <w:tcPr>
            <w:tcW w:type="dxa" w:w="17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Instagram</w:t>
            </w:r>
          </w:p>
        </w:tc>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Reels pédagogiques, Stories questions/réponses, mêmes visuels que Facebook adaptés.</w:t>
            </w:r>
          </w:p>
        </w:tc>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3 Reels + Stories/sem.</w:t>
            </w:r>
          </w:p>
        </w:tc>
        <w:tc>
          <w:tcPr>
            <w:tcW w:type="dxa" w:w="23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Vues, partages, visites du profil</w:t>
            </w:r>
          </w:p>
        </w:tc>
      </w:tr>
      <w:tr>
        <w:trPr>
          <w:cantSplit/>
        </w:trPr>
        <w:tc>
          <w:tcPr>
            <w:tcW w:type="dxa" w:w="17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TikTok</w:t>
            </w:r>
          </w:p>
        </w:tc>
        <w:tc>
          <w:tcPr>
            <w:tcW w:type="dxa" w:w="30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Formats très courts : « 1 démarche en 30 secondes », coulisses, Coach IA en action.</w:t>
            </w:r>
          </w:p>
        </w:tc>
        <w:tc>
          <w:tcPr>
            <w:tcW w:type="dxa" w:w="26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2 à 3 vidéos/sem.</w:t>
            </w:r>
          </w:p>
        </w:tc>
        <w:tc>
          <w:tcPr>
            <w:tcW w:type="dxa" w:w="23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Vues complètes, abonnés</w:t>
            </w:r>
          </w:p>
        </w:tc>
      </w:tr>
      <w:tr>
        <w:trPr>
          <w:cantSplit/>
        </w:trPr>
        <w:tc>
          <w:tcPr>
            <w:tcW w:type="dxa" w:w="17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Google et IA</w:t>
            </w:r>
          </w:p>
        </w:tc>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Guide public, FAQ et blog : référencement naturel et citations par ChatGPT, Perplexity, Gemini (llms.txt déjà en place).</w:t>
            </w:r>
          </w:p>
        </w:tc>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1 article/mois + mise à jour des fiches</w:t>
            </w:r>
          </w:p>
        </w:tc>
        <w:tc>
          <w:tcPr>
            <w:tcW w:type="dxa" w:w="23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Trafic naturel, positions</w:t>
            </w:r>
          </w:p>
        </w:tc>
      </w:tr>
      <w:tr>
        <w:trPr>
          <w:cantSplit/>
        </w:trPr>
        <w:tc>
          <w:tcPr>
            <w:tcW w:type="dxa" w:w="17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Partenaires</w:t>
            </w:r>
          </w:p>
        </w:tc>
        <w:tc>
          <w:tcPr>
            <w:tcW w:type="dxa" w:w="30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Recommandation par les professionnels de la famille (voir chapitre 6).</w:t>
            </w:r>
          </w:p>
        </w:tc>
        <w:tc>
          <w:tcPr>
            <w:tcW w:type="dxa" w:w="26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2 rendez-vous/mois</w:t>
            </w:r>
          </w:p>
        </w:tc>
        <w:tc>
          <w:tcPr>
            <w:tcW w:type="dxa" w:w="23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Inscriptions via code partenaire</w:t>
            </w:r>
          </w:p>
        </w:tc>
      </w:tr>
      <w:tr>
        <w:trPr>
          <w:cantSplit/>
        </w:trPr>
        <w:tc>
          <w:tcPr>
            <w:tcW w:type="dxa" w:w="17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Terrain et radio</w:t>
            </w:r>
          </w:p>
        </w:tc>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Forums, salons, mairies, PMI ; communiqués aux radios et médias locaux (gratuit).</w:t>
            </w:r>
          </w:p>
        </w:tc>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1 action/mois</w:t>
            </w:r>
          </w:p>
        </w:tc>
        <w:tc>
          <w:tcPr>
            <w:tcW w:type="dxa" w:w="23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Scans du QR code</w:t>
            </w:r>
          </w:p>
        </w:tc>
      </w:tr>
    </w:tbl>
    <w:p>
      <w:pPr>
        <w:pStyle w:val="Heading1"/>
        <w:pageBreakBefore/>
        <w:spacing w:after="200"/>
      </w:pPr>
      <w:r>
        <w:rPr>
          <w:rFonts w:ascii="Calibri" w:cs="Calibri" w:eastAsia="Calibri" w:hAnsi="Calibri"/>
          <w:b/>
          <w:bCs/>
          <w:color w:val="0B2D5B"/>
          <w:sz w:val="36"/>
          <w:szCs w:val="36"/>
        </w:rPr>
        <w:t xml:space="preserve">5. La publicité payante (150 €/mois)</w:t>
      </w:r>
    </w:p>
    <w:p>
      <w:pPr>
        <w:pStyle w:val="Heading2"/>
        <w:spacing w:after="120" w:before="240"/>
      </w:pPr>
      <w:r>
        <w:rPr>
          <w:rFonts w:ascii="Calibri" w:cs="Calibri" w:eastAsia="Calibri" w:hAnsi="Calibri"/>
          <w:b/>
          <w:bCs/>
          <w:color w:val="2E7D32"/>
          <w:sz w:val="28"/>
          <w:szCs w:val="28"/>
        </w:rPr>
        <w:t xml:space="preserve">Meta : Facebook et Instagram (110 €)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838"/>
      </w:tblGrid>
      <w:tr>
        <w:trPr>
          <w:tblHeader/>
        </w:trPr>
        <w:tc>
          <w:tcPr>
            <w:tcW w:type="dxa" w:w="260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Campagne</w:t>
            </w:r>
          </w:p>
        </w:tc>
        <w:tc>
          <w:tcPr>
            <w:tcW w:type="dxa" w:w="220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Budget</w:t>
            </w:r>
          </w:p>
        </w:tc>
        <w:tc>
          <w:tcPr>
            <w:tcW w:type="dxa" w:w="4838"/>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Ciblage et message</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A. Notoriété utile</w:t>
            </w:r>
          </w:p>
        </w:tc>
        <w:tc>
          <w:tcPr>
            <w:tcW w:type="dxa" w:w="22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30 €</w:t>
            </w:r>
          </w:p>
        </w:tc>
        <w:tc>
          <w:tcPr>
            <w:tcW w:type="dxa" w:w="48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Guyane entière, 22-55 ans, vidéos courtes « 1 démarche expliquée » (Guide). Objectif : se faire connaître à petit coût.</w:t>
            </w:r>
          </w:p>
        </w:tc>
      </w:tr>
      <w:tr>
        <w:trPr>
          <w:cantSplit/>
        </w:trPr>
        <w:tc>
          <w:tcPr>
            <w:tcW w:type="dxa" w:w="26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B. Inscriptions</w:t>
            </w:r>
          </w:p>
        </w:tc>
        <w:tc>
          <w:tcPr>
            <w:tcW w:type="dxa" w:w="22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55 €</w:t>
            </w:r>
          </w:p>
        </w:tc>
        <w:tc>
          <w:tcPr>
            <w:tcW w:type="dxa" w:w="48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Cayenne, Matoury, Rémire-Montjoly, Kourou, Saint-Laurent ; centres d’intérêt parentalité, famille. Message bénéfice + bouton « Créer mon compte gratuit ».</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C. Reciblage</w:t>
            </w:r>
          </w:p>
        </w:tc>
        <w:tc>
          <w:tcPr>
            <w:tcW w:type="dxa" w:w="22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15 €</w:t>
            </w:r>
          </w:p>
        </w:tc>
        <w:tc>
          <w:tcPr>
            <w:tcW w:type="dxa" w:w="48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Personnes ayant vu une vidéo ou visité le site sans s’inscrire. Rappel des fonctions phares.</w:t>
            </w:r>
          </w:p>
        </w:tc>
      </w:tr>
      <w:tr>
        <w:trPr>
          <w:cantSplit/>
        </w:trPr>
        <w:tc>
          <w:tcPr>
            <w:tcW w:type="dxa" w:w="26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D. Portugais</w:t>
            </w:r>
          </w:p>
        </w:tc>
        <w:tc>
          <w:tcPr>
            <w:tcW w:type="dxa" w:w="22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10 €</w:t>
            </w:r>
          </w:p>
        </w:tc>
        <w:tc>
          <w:tcPr>
            <w:tcW w:type="dxa" w:w="48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Mêmes zones, langue portugaise : version PT des meilleures annonces, renvoi vers lienparental.fr/pt.</w:t>
            </w:r>
          </w:p>
        </w:tc>
      </w:tr>
    </w:tbl>
    <w:p>
      <w:pPr>
        <w:spacing w:after="120" w:before="0" w:line="30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B45309" w:sz="24"/>
              <w:bottom w:val="none"/>
              <w:right w:val="none"/>
            </w:tcBorders>
            <w:shd w:fill="FFF4E5" w:color="auto" w:val="clear"/>
            <w:tcMar>
              <w:top w:type="dxa" w:w="140"/>
              <w:left w:type="dxa" w:w="220"/>
              <w:bottom w:type="dxa" w:w="140"/>
              <w:right w:type="dxa" w:w="200"/>
            </w:tcMar>
          </w:tcPr>
          <w:p>
            <w:pPr>
              <w:spacing w:after="80" w:before="0" w:line="300"/>
            </w:pPr>
            <w:r>
              <w:rPr>
                <w:rFonts w:ascii="Calibri" w:cs="Calibri" w:eastAsia="Calibri" w:hAnsi="Calibri"/>
                <w:b/>
                <w:bCs/>
                <w:color w:val="B45309"/>
                <w:sz w:val="23"/>
                <w:szCs w:val="23"/>
              </w:rPr>
              <w:t xml:space="preserve">Attention aux règles de Meta sur les sujets personnels</w:t>
            </w:r>
          </w:p>
          <w:p>
            <w:pPr>
              <w:spacing w:after="60" w:before="0" w:line="300"/>
            </w:pPr>
            <w:r>
              <w:rPr>
                <w:rFonts w:ascii="Calibri" w:cs="Calibri" w:eastAsia="Calibri" w:hAnsi="Calibri"/>
                <w:sz w:val="22"/>
                <w:szCs w:val="22"/>
              </w:rPr>
              <w:t xml:space="preserve">Une annonce ne doit jamais suggérer qu’on connaît la situation de la personne (« Vous êtes séparé ? », « Votre ex ne paie pas ? »). On parle </w:t>
            </w:r>
            <w:r>
              <w:rPr>
                <w:rFonts w:ascii="Calibri" w:cs="Calibri" w:eastAsia="Calibri" w:hAnsi="Calibri"/>
                <w:b/>
                <w:bCs/>
                <w:sz w:val="22"/>
                <w:szCs w:val="22"/>
              </w:rPr>
              <w:t xml:space="preserve">du service et de ses bénéfices</w:t>
            </w:r>
            <w:r>
              <w:rPr>
                <w:rFonts w:ascii="Calibri" w:cs="Calibri" w:eastAsia="Calibri" w:hAnsi="Calibri"/>
                <w:sz w:val="22"/>
                <w:szCs w:val="22"/>
              </w:rPr>
              <w:t xml:space="preserve"> : « Calendrier de garde, documents, démarches en Guyane : tout au même endroit. »</w:t>
            </w:r>
          </w:p>
          <w:p>
            <w:pPr>
              <w:spacing w:after="60" w:before="0" w:line="300"/>
            </w:pPr>
            <w:r>
              <w:rPr>
                <w:rFonts w:ascii="Calibri" w:cs="Calibri" w:eastAsia="Calibri" w:hAnsi="Calibri"/>
                <w:sz w:val="22"/>
                <w:szCs w:val="22"/>
              </w:rPr>
              <w:t xml:space="preserve">Jamais de faux témoignage ni de note inventée : uniquement des avis réels, avec accord écrit.</w:t>
            </w:r>
          </w:p>
        </w:tc>
      </w:tr>
    </w:tbl>
    <w:p>
      <w:pPr>
        <w:spacing w:after="120" w:before="0" w:line="30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D32"/>
          <w:sz w:val="28"/>
          <w:szCs w:val="28"/>
        </w:rPr>
        <w:t xml:space="preserve">Google Search (40 €)</w:t>
      </w:r>
    </w:p>
    <w:p>
      <w:pPr>
        <w:pStyle w:val="ListParagraph"/>
        <w:numPr>
          <w:ilvl w:val="0"/>
          <w:numId w:val="2"/>
        </w:numPr>
        <w:spacing w:after="80" w:line="290"/>
      </w:pPr>
      <w:r>
        <w:rPr>
          <w:rFonts w:ascii="Calibri" w:cs="Calibri" w:eastAsia="Calibri" w:hAnsi="Calibri"/>
          <w:b/>
          <w:bCs/>
          <w:sz w:val="22"/>
          <w:szCs w:val="22"/>
        </w:rPr>
        <w:t xml:space="preserve">Mots-clés : </w:t>
      </w:r>
      <w:r>
        <w:rPr>
          <w:rFonts w:ascii="Calibri" w:cs="Calibri" w:eastAsia="Calibri" w:hAnsi="Calibri"/>
          <w:sz w:val="22"/>
          <w:szCs w:val="22"/>
        </w:rPr>
        <w:t xml:space="preserve">pension alimentaire Guyane, ARIPA Guyane, garde alternée Cayenne, saisir le JAF Cayenne, Caf Guyane séparation, application coparentalité, calendrier garde alternée.</w:t>
      </w:r>
    </w:p>
    <w:p>
      <w:pPr>
        <w:pStyle w:val="ListParagraph"/>
        <w:numPr>
          <w:ilvl w:val="0"/>
          <w:numId w:val="2"/>
        </w:numPr>
        <w:spacing w:after="80" w:line="290"/>
      </w:pPr>
      <w:r>
        <w:rPr>
          <w:rFonts w:ascii="Calibri" w:cs="Calibri" w:eastAsia="Calibri" w:hAnsi="Calibri"/>
          <w:b/>
          <w:bCs/>
          <w:sz w:val="22"/>
          <w:szCs w:val="22"/>
        </w:rPr>
        <w:t xml:space="preserve">Mots-clés exclus : </w:t>
      </w:r>
      <w:r>
        <w:rPr>
          <w:rFonts w:ascii="Calibri" w:cs="Calibri" w:eastAsia="Calibri" w:hAnsi="Calibri"/>
          <w:sz w:val="22"/>
          <w:szCs w:val="22"/>
        </w:rPr>
        <w:t xml:space="preserve">emploi, recrutement, formation, avocat gratuit (pour ne pas payer des clics hors sujet).</w:t>
      </w:r>
    </w:p>
    <w:p>
      <w:pPr>
        <w:pStyle w:val="ListParagraph"/>
        <w:numPr>
          <w:ilvl w:val="0"/>
          <w:numId w:val="2"/>
        </w:numPr>
        <w:spacing w:after="80" w:line="290"/>
      </w:pPr>
      <w:r>
        <w:rPr>
          <w:rFonts w:ascii="Calibri" w:cs="Calibri" w:eastAsia="Calibri" w:hAnsi="Calibri"/>
          <w:b/>
          <w:bCs/>
          <w:sz w:val="22"/>
          <w:szCs w:val="22"/>
        </w:rPr>
        <w:t xml:space="preserve">Pages d’arrivée : </w:t>
      </w:r>
      <w:r>
        <w:rPr>
          <w:rFonts w:ascii="Calibri" w:cs="Calibri" w:eastAsia="Calibri" w:hAnsi="Calibri"/>
          <w:sz w:val="22"/>
          <w:szCs w:val="22"/>
        </w:rPr>
        <w:t xml:space="preserve">la fiche du Guide correspondante (ex. /guide/guyane/pension-alimentaire-aripa) avec l’appel à l’inscription, plutôt que l’accueil.</w:t>
      </w:r>
    </w:p>
    <w:p>
      <w:pPr>
        <w:pStyle w:val="Heading2"/>
        <w:spacing w:after="120" w:before="240"/>
      </w:pPr>
      <w:r>
        <w:rPr>
          <w:rFonts w:ascii="Calibri" w:cs="Calibri" w:eastAsia="Calibri" w:hAnsi="Calibri"/>
          <w:b/>
          <w:bCs/>
          <w:color w:val="2E7D32"/>
          <w:sz w:val="28"/>
          <w:szCs w:val="28"/>
        </w:rPr>
        <w:t xml:space="preserve">Repères chiffrés (hypothèses à valider le premier mois)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3138"/>
      </w:tblGrid>
      <w:tr>
        <w:trPr>
          <w:tblHeader/>
        </w:trPr>
        <w:tc>
          <w:tcPr>
            <w:tcW w:type="dxa" w:w="330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Indicateur</w:t>
            </w:r>
          </w:p>
        </w:tc>
        <w:tc>
          <w:tcPr>
            <w:tcW w:type="dxa" w:w="320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Hypothèse de départ</w:t>
            </w:r>
          </w:p>
        </w:tc>
        <w:tc>
          <w:tcPr>
            <w:tcW w:type="dxa" w:w="3138"/>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Ce qu’on vise après optimisation</w:t>
            </w:r>
          </w:p>
        </w:tc>
      </w:tr>
      <w:tr>
        <w:trPr>
          <w:cantSplit/>
        </w:trPr>
        <w:tc>
          <w:tcPr>
            <w:tcW w:type="dxa" w:w="33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Coût par clic Meta</w:t>
            </w:r>
          </w:p>
        </w:tc>
        <w:tc>
          <w:tcPr>
            <w:tcW w:type="dxa" w:w="32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0,25 à 0,40 €</w:t>
            </w:r>
          </w:p>
        </w:tc>
        <w:tc>
          <w:tcPr>
            <w:tcW w:type="dxa" w:w="31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&lt; 0,25 €</w:t>
            </w:r>
          </w:p>
        </w:tc>
      </w:tr>
      <w:tr>
        <w:trPr>
          <w:cantSplit/>
        </w:trPr>
        <w:tc>
          <w:tcPr>
            <w:tcW w:type="dxa" w:w="33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Coût par clic Google</w:t>
            </w:r>
          </w:p>
        </w:tc>
        <w:tc>
          <w:tcPr>
            <w:tcW w:type="dxa" w:w="32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0,50 à 0,90 €</w:t>
            </w:r>
          </w:p>
        </w:tc>
        <w:tc>
          <w:tcPr>
            <w:tcW w:type="dxa" w:w="31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&lt; 0,60 €</w:t>
            </w:r>
          </w:p>
        </w:tc>
      </w:tr>
      <w:tr>
        <w:trPr>
          <w:cantSplit/>
        </w:trPr>
        <w:tc>
          <w:tcPr>
            <w:tcW w:type="dxa" w:w="33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Visite → inscription</w:t>
            </w:r>
          </w:p>
        </w:tc>
        <w:tc>
          <w:tcPr>
            <w:tcW w:type="dxa" w:w="32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10 à 15 %</w:t>
            </w:r>
          </w:p>
        </w:tc>
        <w:tc>
          <w:tcPr>
            <w:tcW w:type="dxa" w:w="31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&gt; 15 %</w:t>
            </w:r>
          </w:p>
        </w:tc>
      </w:tr>
      <w:tr>
        <w:trPr>
          <w:cantSplit/>
        </w:trPr>
        <w:tc>
          <w:tcPr>
            <w:tcW w:type="dxa" w:w="33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Coût d’une inscription payée</w:t>
            </w:r>
          </w:p>
        </w:tc>
        <w:tc>
          <w:tcPr>
            <w:tcW w:type="dxa" w:w="32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2,50 à 4 €</w:t>
            </w:r>
          </w:p>
        </w:tc>
        <w:tc>
          <w:tcPr>
            <w:tcW w:type="dxa" w:w="31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&lt; 2,50 €</w:t>
            </w:r>
          </w:p>
        </w:tc>
      </w:tr>
      <w:tr>
        <w:trPr>
          <w:cantSplit/>
        </w:trPr>
        <w:tc>
          <w:tcPr>
            <w:tcW w:type="dxa" w:w="33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Inscriptions/mois via la pub</w:t>
            </w:r>
          </w:p>
        </w:tc>
        <w:tc>
          <w:tcPr>
            <w:tcW w:type="dxa" w:w="32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40 à 60</w:t>
            </w:r>
          </w:p>
        </w:tc>
        <w:tc>
          <w:tcPr>
            <w:tcW w:type="dxa" w:w="31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60 et plus</w:t>
            </w:r>
          </w:p>
        </w:tc>
      </w:tr>
    </w:tbl>
    <w:p>
      <w:pPr>
        <w:pStyle w:val="Heading1"/>
        <w:pageBreakBefore/>
        <w:spacing w:after="200"/>
      </w:pPr>
      <w:r>
        <w:rPr>
          <w:rFonts w:ascii="Calibri" w:cs="Calibri" w:eastAsia="Calibri" w:hAnsi="Calibri"/>
          <w:b/>
          <w:bCs/>
          <w:color w:val="0B2D5B"/>
          <w:sz w:val="36"/>
          <w:szCs w:val="36"/>
        </w:rPr>
        <w:t xml:space="preserve">6. Réseaux sociaux, contenus et partenariats</w:t>
      </w:r>
    </w:p>
    <w:p>
      <w:pPr>
        <w:pStyle w:val="Heading2"/>
        <w:spacing w:after="120" w:before="240"/>
      </w:pPr>
      <w:r>
        <w:rPr>
          <w:rFonts w:ascii="Calibri" w:cs="Calibri" w:eastAsia="Calibri" w:hAnsi="Calibri"/>
          <w:b/>
          <w:bCs/>
          <w:color w:val="2E7D32"/>
          <w:sz w:val="28"/>
          <w:szCs w:val="28"/>
        </w:rPr>
        <w:t xml:space="preserve">Les piliers de contenu</w:t>
      </w:r>
    </w:p>
    <w:p>
      <w:pPr>
        <w:spacing w:after="200"/>
        <w:jc w:val="center"/>
      </w:pPr>
      <w:r>
        <w:drawing>
          <wp:inline distT="0" distB="0" distL="0" distR="0">
            <wp:extent cx="5143500" cy="19526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952625"/>
                    </a:xfrm>
                    <a:prstGeom prst="rect">
                      <a:avLst/>
                    </a:prstGeom>
                  </pic:spPr>
                </pic:pic>
              </a:graphicData>
            </a:graphic>
          </wp:inline>
        </w:drawing>
      </w:r>
    </w:p>
    <w:p>
      <w:pPr>
        <w:spacing w:after="240" w:before="0" w:line="300"/>
        <w:jc w:val="center"/>
      </w:pPr>
      <w:r>
        <w:rPr>
          <w:rFonts w:ascii="Calibri" w:cs="Calibri" w:eastAsia="Calibri" w:hAnsi="Calibri"/>
          <w:i/>
          <w:iCs/>
          <w:color w:val="5B6577"/>
          <w:sz w:val="19"/>
          <w:szCs w:val="19"/>
        </w:rPr>
        <w:t xml:space="preserve">Part de chaque thème dans les publications</w:t>
      </w:r>
    </w:p>
    <w:p>
      <w:pPr>
        <w:pStyle w:val="Heading2"/>
        <w:spacing w:after="120" w:before="240"/>
      </w:pPr>
      <w:r>
        <w:rPr>
          <w:rFonts w:ascii="Calibri" w:cs="Calibri" w:eastAsia="Calibri" w:hAnsi="Calibri"/>
          <w:b/>
          <w:bCs/>
          <w:color w:val="2E7D32"/>
          <w:sz w:val="28"/>
          <w:szCs w:val="28"/>
        </w:rPr>
        <w:t xml:space="preserve">Le calendrier éditorial type d’une semaine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3300"/>
        <w:gridCol w:w="2538"/>
      </w:tblGrid>
      <w:tr>
        <w:trPr>
          <w:tblHeader/>
        </w:trPr>
        <w:tc>
          <w:tcPr>
            <w:tcW w:type="dxa" w:w="130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Jour</w:t>
            </w:r>
          </w:p>
        </w:tc>
        <w:tc>
          <w:tcPr>
            <w:tcW w:type="dxa" w:w="250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Format</w:t>
            </w:r>
          </w:p>
        </w:tc>
        <w:tc>
          <w:tcPr>
            <w:tcW w:type="dxa" w:w="330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Exemple</w:t>
            </w:r>
          </w:p>
        </w:tc>
        <w:tc>
          <w:tcPr>
            <w:tcW w:type="dxa" w:w="2538"/>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Réseaux</w:t>
            </w:r>
          </w:p>
        </w:tc>
      </w:tr>
      <w:tr>
        <w:trPr>
          <w:cantSplit/>
        </w:trPr>
        <w:tc>
          <w:tcPr>
            <w:tcW w:type="dxa" w:w="13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Lundi</w:t>
            </w:r>
          </w:p>
        </w:tc>
        <w:tc>
          <w:tcPr>
            <w:tcW w:type="dxa" w:w="25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Carrousel « démarche »</w:t>
            </w:r>
          </w:p>
        </w:tc>
        <w:tc>
          <w:tcPr>
            <w:tcW w:type="dxa" w:w="33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 Pension non payée : les 4 étapes avec l’ARIPA »</w:t>
            </w:r>
          </w:p>
        </w:tc>
        <w:tc>
          <w:tcPr>
            <w:tcW w:type="dxa" w:w="25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Facebook, Instagram</w:t>
            </w:r>
          </w:p>
        </w:tc>
      </w:tr>
      <w:tr>
        <w:trPr>
          <w:cantSplit/>
        </w:trPr>
        <w:tc>
          <w:tcPr>
            <w:tcW w:type="dxa" w:w="13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Mardi</w:t>
            </w:r>
          </w:p>
        </w:tc>
        <w:tc>
          <w:tcPr>
            <w:tcW w:type="dxa" w:w="25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Vidéo courte</w:t>
            </w:r>
          </w:p>
        </w:tc>
        <w:tc>
          <w:tcPr>
            <w:tcW w:type="dxa" w:w="33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 Le Coach IA transforme un message tendu en message calme »</w:t>
            </w:r>
          </w:p>
        </w:tc>
        <w:tc>
          <w:tcPr>
            <w:tcW w:type="dxa" w:w="25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TikTok, Reels</w:t>
            </w:r>
          </w:p>
        </w:tc>
      </w:tr>
      <w:tr>
        <w:trPr>
          <w:cantSplit/>
        </w:trPr>
        <w:tc>
          <w:tcPr>
            <w:tcW w:type="dxa" w:w="13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Mercredi</w:t>
            </w:r>
          </w:p>
        </w:tc>
        <w:tc>
          <w:tcPr>
            <w:tcW w:type="dxa" w:w="25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Question de la semaine</w:t>
            </w:r>
          </w:p>
        </w:tc>
        <w:tc>
          <w:tcPr>
            <w:tcW w:type="dxa" w:w="33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 Quelle démarche vous a le plus compliqué la vie ? »</w:t>
            </w:r>
          </w:p>
        </w:tc>
        <w:tc>
          <w:tcPr>
            <w:tcW w:type="dxa" w:w="25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Facebook, Stories</w:t>
            </w:r>
          </w:p>
        </w:tc>
      </w:tr>
      <w:tr>
        <w:trPr>
          <w:cantSplit/>
        </w:trPr>
        <w:tc>
          <w:tcPr>
            <w:tcW w:type="dxa" w:w="13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Jeudi</w:t>
            </w:r>
          </w:p>
        </w:tc>
        <w:tc>
          <w:tcPr>
            <w:tcW w:type="dxa" w:w="25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Version portugaise</w:t>
            </w:r>
          </w:p>
        </w:tc>
        <w:tc>
          <w:tcPr>
            <w:tcW w:type="dxa" w:w="33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La démarche du lundi en portugais</w:t>
            </w:r>
          </w:p>
        </w:tc>
        <w:tc>
          <w:tcPr>
            <w:tcW w:type="dxa" w:w="25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Facebook, WhatsApp</w:t>
            </w:r>
          </w:p>
        </w:tc>
      </w:tr>
      <w:tr>
        <w:trPr>
          <w:cantSplit/>
        </w:trPr>
        <w:tc>
          <w:tcPr>
            <w:tcW w:type="dxa" w:w="13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Vendredi</w:t>
            </w:r>
          </w:p>
        </w:tc>
        <w:tc>
          <w:tcPr>
            <w:tcW w:type="dxa" w:w="25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Tutoriel produit</w:t>
            </w:r>
          </w:p>
        </w:tc>
        <w:tc>
          <w:tcPr>
            <w:tcW w:type="dxa" w:w="33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 Préparer son dossier pour le juge en 3 minutes »</w:t>
            </w:r>
          </w:p>
        </w:tc>
        <w:tc>
          <w:tcPr>
            <w:tcW w:type="dxa" w:w="25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Toutes</w:t>
            </w:r>
          </w:p>
        </w:tc>
      </w:tr>
      <w:tr>
        <w:trPr>
          <w:cantSplit/>
        </w:trPr>
        <w:tc>
          <w:tcPr>
            <w:tcW w:type="dxa" w:w="13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Week-end</w:t>
            </w:r>
          </w:p>
        </w:tc>
        <w:tc>
          <w:tcPr>
            <w:tcW w:type="dxa" w:w="25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Conseil apaisant</w:t>
            </w:r>
          </w:p>
        </w:tc>
        <w:tc>
          <w:tcPr>
            <w:tcW w:type="dxa" w:w="33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 Préparer l’enfant à un changement de garde »</w:t>
            </w:r>
          </w:p>
        </w:tc>
        <w:tc>
          <w:tcPr>
            <w:tcW w:type="dxa" w:w="25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Instagram, WhatsApp</w:t>
            </w:r>
          </w:p>
        </w:tc>
      </w:tr>
    </w:tbl>
    <w:p>
      <w:pPr>
        <w:spacing w:after="120" w:before="0" w:line="30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D32"/>
          <w:sz w:val="28"/>
          <w:szCs w:val="28"/>
        </w:rPr>
        <w:t xml:space="preserve">Le ton et les règles</w:t>
      </w:r>
    </w:p>
    <w:p>
      <w:pPr>
        <w:pStyle w:val="ListParagraph"/>
        <w:numPr>
          <w:ilvl w:val="0"/>
          <w:numId w:val="2"/>
        </w:numPr>
        <w:spacing w:after="80" w:line="290"/>
      </w:pPr>
      <w:r>
        <w:rPr>
          <w:rFonts w:ascii="Calibri" w:cs="Calibri" w:eastAsia="Calibri" w:hAnsi="Calibri"/>
          <w:sz w:val="22"/>
          <w:szCs w:val="22"/>
        </w:rPr>
        <w:t xml:space="preserve">Bienveillant, clair, jamais contre l’autre parent : on parle de l’intérêt de l’enfant.</w:t>
      </w:r>
    </w:p>
    <w:p>
      <w:pPr>
        <w:pStyle w:val="ListParagraph"/>
        <w:numPr>
          <w:ilvl w:val="0"/>
          <w:numId w:val="2"/>
        </w:numPr>
        <w:spacing w:after="80" w:line="290"/>
      </w:pPr>
      <w:r>
        <w:rPr>
          <w:rFonts w:ascii="Calibri" w:cs="Calibri" w:eastAsia="Calibri" w:hAnsi="Calibri"/>
          <w:sz w:val="22"/>
          <w:szCs w:val="22"/>
        </w:rPr>
        <w:t xml:space="preserve">Pédagogique avant d’être commercial : 4 contenus utiles pour 1 message promotionnel.</w:t>
      </w:r>
    </w:p>
    <w:p>
      <w:pPr>
        <w:pStyle w:val="ListParagraph"/>
        <w:numPr>
          <w:ilvl w:val="0"/>
          <w:numId w:val="2"/>
        </w:numPr>
        <w:spacing w:after="80" w:line="290"/>
      </w:pPr>
      <w:r>
        <w:rPr>
          <w:rFonts w:ascii="Calibri" w:cs="Calibri" w:eastAsia="Calibri" w:hAnsi="Calibri"/>
          <w:sz w:val="22"/>
          <w:szCs w:val="22"/>
        </w:rPr>
        <w:t xml:space="preserve">Aucun conseil juridique personnalisé : on informe et on oriente vers l’avocat, le médiateur, la Caf.</w:t>
      </w:r>
    </w:p>
    <w:p>
      <w:pPr>
        <w:pStyle w:val="ListParagraph"/>
        <w:numPr>
          <w:ilvl w:val="0"/>
          <w:numId w:val="2"/>
        </w:numPr>
        <w:spacing w:after="80" w:line="290"/>
      </w:pPr>
      <w:r>
        <w:rPr>
          <w:rFonts w:ascii="Calibri" w:cs="Calibri" w:eastAsia="Calibri" w:hAnsi="Calibri"/>
          <w:sz w:val="22"/>
          <w:szCs w:val="22"/>
        </w:rPr>
        <w:t xml:space="preserve">Modération rapide (moins de 24 h) et aucune donnée personnelle demandée en commentaire : la conversation passe en message privé.</w:t>
      </w:r>
    </w:p>
    <w:p>
      <w:pPr>
        <w:pStyle w:val="ListParagraph"/>
        <w:numPr>
          <w:ilvl w:val="0"/>
          <w:numId w:val="2"/>
        </w:numPr>
        <w:spacing w:after="80" w:line="290"/>
      </w:pPr>
      <w:r>
        <w:rPr>
          <w:rFonts w:ascii="Calibri" w:cs="Calibri" w:eastAsia="Calibri" w:hAnsi="Calibri"/>
          <w:sz w:val="22"/>
          <w:szCs w:val="22"/>
        </w:rPr>
        <w:t xml:space="preserve">Visuels aux couleurs de la marque (vert et bleu nuit), photos de familles guyanaises diverses, sous-titres systématiques.</w:t>
      </w:r>
    </w:p>
    <w:p>
      <w:pPr>
        <w:pStyle w:val="Heading2"/>
        <w:pageBreakBefore/>
        <w:spacing w:after="120" w:before="240"/>
      </w:pPr>
      <w:r>
        <w:rPr>
          <w:rFonts w:ascii="Calibri" w:cs="Calibri" w:eastAsia="Calibri" w:hAnsi="Calibri"/>
          <w:b/>
          <w:bCs/>
          <w:color w:val="2E7D32"/>
          <w:sz w:val="28"/>
          <w:szCs w:val="28"/>
        </w:rPr>
        <w:t xml:space="preserve">Partenariats prioritaires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tblHeader/>
        </w:trPr>
        <w:tc>
          <w:tcPr>
            <w:tcW w:type="dxa" w:w="300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Partenaire</w:t>
            </w:r>
          </w:p>
        </w:tc>
        <w:tc>
          <w:tcPr>
            <w:tcW w:type="dxa" w:w="360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Ce qu’on propose</w:t>
            </w:r>
          </w:p>
        </w:tc>
        <w:tc>
          <w:tcPr>
            <w:tcW w:type="dxa" w:w="3038"/>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Ce qu’on obtient</w:t>
            </w:r>
          </w:p>
        </w:tc>
      </w:tr>
      <w:tr>
        <w:trPr>
          <w:cantSplit/>
        </w:trPr>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Caf de la Guyane, UDAF</w:t>
            </w:r>
          </w:p>
        </w:tc>
        <w:tc>
          <w:tcPr>
            <w:tcW w:type="dxa" w:w="3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Présentation du Guide (démarches Caf, ASF, ARIPA), supports imprimables.</w:t>
            </w:r>
          </w:p>
        </w:tc>
        <w:tc>
          <w:tcPr>
            <w:tcW w:type="dxa" w:w="30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Relais auprès des allocataires, crédibilité.</w:t>
            </w:r>
          </w:p>
        </w:tc>
      </w:tr>
      <w:tr>
        <w:trPr>
          <w:cantSplit/>
        </w:trPr>
        <w:tc>
          <w:tcPr>
            <w:tcW w:type="dxa" w:w="30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Médiateurs familiaux</w:t>
            </w:r>
          </w:p>
        </w:tc>
        <w:tc>
          <w:tcPr>
            <w:tcW w:type="dxa" w:w="36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Outil gratuit à recommander aux parents en médiation, code partenaire.</w:t>
            </w:r>
          </w:p>
        </w:tc>
        <w:tc>
          <w:tcPr>
            <w:tcW w:type="dxa" w:w="30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Recommandations ciblées et régulières.</w:t>
            </w:r>
          </w:p>
        </w:tc>
      </w:tr>
      <w:tr>
        <w:trPr>
          <w:cantSplit/>
        </w:trPr>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Avocats (barreau de Guyane)</w:t>
            </w:r>
          </w:p>
        </w:tc>
        <w:tc>
          <w:tcPr>
            <w:tcW w:type="dxa" w:w="3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Dossier JAF exportable et partage sécurisé avec l’avocat.</w:t>
            </w:r>
          </w:p>
        </w:tc>
        <w:tc>
          <w:tcPr>
            <w:tcW w:type="dxa" w:w="30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Clients mieux préparés, recommandations.</w:t>
            </w:r>
          </w:p>
        </w:tc>
      </w:tr>
      <w:tr>
        <w:trPr>
          <w:cantSplit/>
        </w:trPr>
        <w:tc>
          <w:tcPr>
            <w:tcW w:type="dxa" w:w="30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PMI, CCAS, France Services, Maison de justice et du droit</w:t>
            </w:r>
          </w:p>
        </w:tc>
        <w:tc>
          <w:tcPr>
            <w:tcW w:type="dxa" w:w="36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Affiches et flyers avec QR code, démonstration de 15 min.</w:t>
            </w:r>
          </w:p>
        </w:tc>
        <w:tc>
          <w:tcPr>
            <w:tcW w:type="dxa" w:w="30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Visibilité auprès des familles accompagnées.</w:t>
            </w:r>
          </w:p>
        </w:tc>
      </w:tr>
      <w:tr>
        <w:trPr>
          <w:cantSplit/>
        </w:trPr>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Associations (parents, communauté brésilienne)</w:t>
            </w:r>
          </w:p>
        </w:tc>
        <w:tc>
          <w:tcPr>
            <w:tcW w:type="dxa" w:w="36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Atelier « vos droits en Guyane » en français et en portugais.</w:t>
            </w:r>
          </w:p>
        </w:tc>
        <w:tc>
          <w:tcPr>
            <w:tcW w:type="dxa" w:w="30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Confiance et bouche-à-oreille.</w:t>
            </w:r>
          </w:p>
        </w:tc>
      </w:tr>
      <w:tr>
        <w:trPr>
          <w:cantSplit/>
        </w:trPr>
        <w:tc>
          <w:tcPr>
            <w:tcW w:type="dxa" w:w="30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Radios et médias locaux</w:t>
            </w:r>
          </w:p>
        </w:tc>
        <w:tc>
          <w:tcPr>
            <w:tcW w:type="dxa" w:w="36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Communiqué de lancement, interview, chronique « une démarche par mois ».</w:t>
            </w:r>
          </w:p>
        </w:tc>
        <w:tc>
          <w:tcPr>
            <w:tcW w:type="dxa" w:w="30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Notoriété gratuite.</w:t>
            </w:r>
          </w:p>
        </w:tc>
      </w:tr>
    </w:tbl>
    <w:p>
      <w:pPr>
        <w:pStyle w:val="Heading1"/>
        <w:pageBreakBefore/>
        <w:spacing w:after="200"/>
      </w:pPr>
      <w:r>
        <w:rPr>
          <w:rFonts w:ascii="Calibri" w:cs="Calibri" w:eastAsia="Calibri" w:hAnsi="Calibri"/>
          <w:b/>
          <w:bCs/>
          <w:color w:val="0B2D5B"/>
          <w:sz w:val="36"/>
          <w:szCs w:val="36"/>
        </w:rPr>
        <w:t xml:space="preserve">7. De l’inscription à l’abonnement</w:t>
      </w:r>
    </w:p>
    <w:p>
      <w:pPr>
        <w:spacing w:after="200"/>
        <w:jc w:val="center"/>
      </w:pPr>
      <w:r>
        <w:drawing>
          <wp:inline distT="0" distB="0" distL="0" distR="0">
            <wp:extent cx="5143500" cy="26765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676525"/>
                    </a:xfrm>
                    <a:prstGeom prst="rect">
                      <a:avLst/>
                    </a:prstGeom>
                  </pic:spPr>
                </pic:pic>
              </a:graphicData>
            </a:graphic>
          </wp:inline>
        </w:drawing>
      </w:r>
    </w:p>
    <w:p>
      <w:pPr>
        <w:spacing w:after="240" w:before="0" w:line="300"/>
        <w:jc w:val="center"/>
      </w:pPr>
      <w:r>
        <w:rPr>
          <w:rFonts w:ascii="Calibri" w:cs="Calibri" w:eastAsia="Calibri" w:hAnsi="Calibri"/>
          <w:i/>
          <w:iCs/>
          <w:color w:val="5B6577"/>
          <w:sz w:val="19"/>
          <w:szCs w:val="19"/>
        </w:rPr>
        <w:t xml:space="preserve">Objectif mensuel au 6e mois</w:t>
      </w:r>
    </w:p>
    <w:p>
      <w:pPr>
        <w:pStyle w:val="Heading2"/>
        <w:spacing w:after="120" w:before="240"/>
      </w:pPr>
      <w:r>
        <w:rPr>
          <w:rFonts w:ascii="Calibri" w:cs="Calibri" w:eastAsia="Calibri" w:hAnsi="Calibri"/>
          <w:b/>
          <w:bCs/>
          <w:color w:val="2E7D32"/>
          <w:sz w:val="28"/>
          <w:szCs w:val="28"/>
        </w:rPr>
        <w:t xml:space="preserve">Activer : les 7 premiers jours</w:t>
      </w:r>
    </w:p>
    <w:p>
      <w:pPr>
        <w:pStyle w:val="ListParagraph"/>
        <w:numPr>
          <w:ilvl w:val="0"/>
          <w:numId w:val="2"/>
        </w:numPr>
        <w:spacing w:after="80" w:line="290"/>
      </w:pPr>
      <w:r>
        <w:rPr>
          <w:rFonts w:ascii="Calibri" w:cs="Calibri" w:eastAsia="Calibri" w:hAnsi="Calibri"/>
          <w:b/>
          <w:bCs/>
          <w:sz w:val="22"/>
          <w:szCs w:val="22"/>
        </w:rPr>
        <w:t xml:space="preserve">Jour 0 : </w:t>
      </w:r>
      <w:r>
        <w:rPr>
          <w:rFonts w:ascii="Calibri" w:cs="Calibri" w:eastAsia="Calibri" w:hAnsi="Calibri"/>
          <w:sz w:val="22"/>
          <w:szCs w:val="22"/>
        </w:rPr>
        <w:t xml:space="preserve">e-mail de bienvenue + 3 étapes simples (ajouter un enfant, une date, un document).</w:t>
      </w:r>
    </w:p>
    <w:p>
      <w:pPr>
        <w:pStyle w:val="ListParagraph"/>
        <w:numPr>
          <w:ilvl w:val="0"/>
          <w:numId w:val="2"/>
        </w:numPr>
        <w:spacing w:after="80" w:line="290"/>
      </w:pPr>
      <w:r>
        <w:rPr>
          <w:rFonts w:ascii="Calibri" w:cs="Calibri" w:eastAsia="Calibri" w:hAnsi="Calibri"/>
          <w:b/>
          <w:bCs/>
          <w:sz w:val="22"/>
          <w:szCs w:val="22"/>
        </w:rPr>
        <w:t xml:space="preserve">Jour 2 : </w:t>
      </w:r>
      <w:r>
        <w:rPr>
          <w:rFonts w:ascii="Calibri" w:cs="Calibri" w:eastAsia="Calibri" w:hAnsi="Calibri"/>
          <w:sz w:val="22"/>
          <w:szCs w:val="22"/>
        </w:rPr>
        <w:t xml:space="preserve">notification « Votre démarche la plus utile » selon la situation (Guide).</w:t>
      </w:r>
    </w:p>
    <w:p>
      <w:pPr>
        <w:pStyle w:val="ListParagraph"/>
        <w:numPr>
          <w:ilvl w:val="0"/>
          <w:numId w:val="2"/>
        </w:numPr>
        <w:spacing w:after="80" w:line="290"/>
      </w:pPr>
      <w:r>
        <w:rPr>
          <w:rFonts w:ascii="Calibri" w:cs="Calibri" w:eastAsia="Calibri" w:hAnsi="Calibri"/>
          <w:b/>
          <w:bCs/>
          <w:sz w:val="22"/>
          <w:szCs w:val="22"/>
        </w:rPr>
        <w:t xml:space="preserve">Jour 5 : </w:t>
      </w:r>
      <w:r>
        <w:rPr>
          <w:rFonts w:ascii="Calibri" w:cs="Calibri" w:eastAsia="Calibri" w:hAnsi="Calibri"/>
          <w:sz w:val="22"/>
          <w:szCs w:val="22"/>
        </w:rPr>
        <w:t xml:space="preserve">présentation du Coach IA avec un exemple concret.</w:t>
      </w:r>
    </w:p>
    <w:p>
      <w:pPr>
        <w:pStyle w:val="ListParagraph"/>
        <w:numPr>
          <w:ilvl w:val="0"/>
          <w:numId w:val="2"/>
        </w:numPr>
        <w:spacing w:after="80" w:line="290"/>
      </w:pPr>
      <w:r>
        <w:rPr>
          <w:rFonts w:ascii="Calibri" w:cs="Calibri" w:eastAsia="Calibri" w:hAnsi="Calibri"/>
          <w:b/>
          <w:bCs/>
          <w:sz w:val="22"/>
          <w:szCs w:val="22"/>
        </w:rPr>
        <w:t xml:space="preserve">Jour 7 : </w:t>
      </w:r>
      <w:r>
        <w:rPr>
          <w:rFonts w:ascii="Calibri" w:cs="Calibri" w:eastAsia="Calibri" w:hAnsi="Calibri"/>
          <w:sz w:val="22"/>
          <w:szCs w:val="22"/>
        </w:rPr>
        <w:t xml:space="preserve">invitation à lier l’autre parent ou un proche (effet réseau).</w:t>
      </w:r>
    </w:p>
    <w:p>
      <w:pPr>
        <w:pStyle w:val="Heading2"/>
        <w:spacing w:after="120" w:before="240"/>
      </w:pPr>
      <w:r>
        <w:rPr>
          <w:rFonts w:ascii="Calibri" w:cs="Calibri" w:eastAsia="Calibri" w:hAnsi="Calibri"/>
          <w:b/>
          <w:bCs/>
          <w:color w:val="2E7D32"/>
          <w:sz w:val="28"/>
          <w:szCs w:val="28"/>
        </w:rPr>
        <w:t xml:space="preserve">Convertir et fidéliser</w:t>
      </w:r>
    </w:p>
    <w:p>
      <w:pPr>
        <w:pStyle w:val="ListParagraph"/>
        <w:numPr>
          <w:ilvl w:val="0"/>
          <w:numId w:val="2"/>
        </w:numPr>
        <w:spacing w:after="80" w:line="290"/>
      </w:pPr>
      <w:r>
        <w:rPr>
          <w:rFonts w:ascii="Calibri" w:cs="Calibri" w:eastAsia="Calibri" w:hAnsi="Calibri"/>
          <w:sz w:val="22"/>
          <w:szCs w:val="22"/>
        </w:rPr>
        <w:t xml:space="preserve">Proposer Premium au bon moment : quand l’espace se remplit, quand le Coach IA atteint sa limite, avant une audience (dossier JAF).</w:t>
      </w:r>
    </w:p>
    <w:p>
      <w:pPr>
        <w:pStyle w:val="ListParagraph"/>
        <w:numPr>
          <w:ilvl w:val="0"/>
          <w:numId w:val="2"/>
        </w:numPr>
        <w:spacing w:after="80" w:line="290"/>
      </w:pPr>
      <w:r>
        <w:rPr>
          <w:rFonts w:ascii="Calibri" w:cs="Calibri" w:eastAsia="Calibri" w:hAnsi="Calibri"/>
          <w:sz w:val="22"/>
          <w:szCs w:val="22"/>
        </w:rPr>
        <w:t xml:space="preserve">Mettre en avant l’offre annuelle (99 €, 3 mois offerts) : meilleure fidélité, moins de résiliations.</w:t>
      </w:r>
    </w:p>
    <w:p>
      <w:pPr>
        <w:pStyle w:val="ListParagraph"/>
        <w:numPr>
          <w:ilvl w:val="0"/>
          <w:numId w:val="2"/>
        </w:numPr>
        <w:spacing w:after="80" w:line="290"/>
      </w:pPr>
      <w:r>
        <w:rPr>
          <w:rFonts w:ascii="Calibri" w:cs="Calibri" w:eastAsia="Calibri" w:hAnsi="Calibri"/>
          <w:sz w:val="22"/>
          <w:szCs w:val="22"/>
        </w:rPr>
        <w:t xml:space="preserve">Demander un avis réel après 30 jours d’utilisation active, avec accord écrit pour toute publication.</w:t>
      </w:r>
    </w:p>
    <w:p>
      <w:pPr>
        <w:pStyle w:val="ListParagraph"/>
        <w:numPr>
          <w:ilvl w:val="0"/>
          <w:numId w:val="2"/>
        </w:numPr>
        <w:spacing w:after="80" w:line="290"/>
      </w:pPr>
      <w:r>
        <w:rPr>
          <w:rFonts w:ascii="Calibri" w:cs="Calibri" w:eastAsia="Calibri" w:hAnsi="Calibri"/>
          <w:sz w:val="22"/>
          <w:szCs w:val="22"/>
        </w:rPr>
        <w:t xml:space="preserve">Parrainage à partir du 6e mois : 1 mois offert pour chacun.</w:t>
      </w:r>
    </w:p>
    <w:p>
      <w:pPr>
        <w:pStyle w:val="Heading1"/>
        <w:pageBreakBefore/>
        <w:spacing w:after="200"/>
      </w:pPr>
      <w:r>
        <w:rPr>
          <w:rFonts w:ascii="Calibri" w:cs="Calibri" w:eastAsia="Calibri" w:hAnsi="Calibri"/>
          <w:b/>
          <w:bCs/>
          <w:color w:val="0B2D5B"/>
          <w:sz w:val="36"/>
          <w:szCs w:val="36"/>
        </w:rPr>
        <w:t xml:space="preserve">8. La feuille de route</w:t>
      </w:r>
    </w:p>
    <w:p>
      <w:pPr>
        <w:spacing w:after="200"/>
        <w:jc w:val="center"/>
      </w:pPr>
      <w:r>
        <w:drawing>
          <wp:inline distT="0" distB="0" distL="0" distR="0">
            <wp:extent cx="5143500" cy="24288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428875"/>
                    </a:xfrm>
                    <a:prstGeom prst="rect">
                      <a:avLst/>
                    </a:prstGeom>
                  </pic:spPr>
                </pic:pic>
              </a:graphicData>
            </a:graphic>
          </wp:inline>
        </w:drawing>
      </w:r>
    </w:p>
    <w:p>
      <w:pPr>
        <w:spacing w:after="240" w:before="0" w:line="300"/>
        <w:jc w:val="center"/>
      </w:pPr>
      <w:r>
        <w:rPr>
          <w:rFonts w:ascii="Calibri" w:cs="Calibri" w:eastAsia="Calibri" w:hAnsi="Calibri"/>
          <w:i/>
          <w:iCs/>
          <w:color w:val="5B6577"/>
          <w:sz w:val="19"/>
          <w:szCs w:val="19"/>
        </w:rPr>
        <w:t xml:space="preserve">Les chantiers des 12 premiers mois</w:t>
      </w:r>
    </w:p>
    <w:p>
      <w:pPr>
        <w:pStyle w:val="Heading2"/>
        <w:spacing w:after="120" w:before="240"/>
      </w:pPr>
      <w:r>
        <w:rPr>
          <w:rFonts w:ascii="Calibri" w:cs="Calibri" w:eastAsia="Calibri" w:hAnsi="Calibri"/>
          <w:b/>
          <w:bCs/>
          <w:color w:val="2E7D32"/>
          <w:sz w:val="28"/>
          <w:szCs w:val="28"/>
        </w:rPr>
        <w:t xml:space="preserve">Les 90 premiers jours, concrètement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tblHeader/>
        </w:trPr>
        <w:tc>
          <w:tcPr>
            <w:tcW w:type="dxa" w:w="170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Période</w:t>
            </w:r>
          </w:p>
        </w:tc>
        <w:tc>
          <w:tcPr>
            <w:tcW w:type="dxa" w:w="7938"/>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Actions</w:t>
            </w:r>
          </w:p>
        </w:tc>
      </w:tr>
      <w:tr>
        <w:trPr>
          <w:cantSplit/>
        </w:trPr>
        <w:tc>
          <w:tcPr>
            <w:tcW w:type="dxa" w:w="17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Semaine 1</w:t>
            </w:r>
          </w:p>
        </w:tc>
        <w:tc>
          <w:tcPr>
            <w:tcW w:type="dxa" w:w="79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Compléter les mentions légales. Créer ou finaliser les pages Facebook, Instagram, TikTok, le canal WhatsApp et la fiche Google Business. Préparer 12 visuels de lancement.</w:t>
            </w:r>
          </w:p>
        </w:tc>
      </w:tr>
      <w:tr>
        <w:trPr>
          <w:cantSplit/>
        </w:trPr>
        <w:tc>
          <w:tcPr>
            <w:tcW w:type="dxa" w:w="17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Semaine 2</w:t>
            </w:r>
          </w:p>
        </w:tc>
        <w:tc>
          <w:tcPr>
            <w:tcW w:type="dxa" w:w="79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Importer le contenu dans l’admin (blog, modèles). Soumettre le plan du site à Google Search Console. Communiqué de presse aux médias locaux.</w:t>
            </w:r>
          </w:p>
        </w:tc>
      </w:tr>
      <w:tr>
        <w:trPr>
          <w:cantSplit/>
        </w:trPr>
        <w:tc>
          <w:tcPr>
            <w:tcW w:type="dxa" w:w="17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Semaines 3-4</w:t>
            </w:r>
          </w:p>
        </w:tc>
        <w:tc>
          <w:tcPr>
            <w:tcW w:type="dxa" w:w="79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Lancer les campagnes Meta A et B et Google Search. Contacter 10 partenaires (Caf, médiateurs, avocats, PMI). Premières publications régulières.</w:t>
            </w:r>
          </w:p>
        </w:tc>
      </w:tr>
      <w:tr>
        <w:trPr>
          <w:cantSplit/>
        </w:trPr>
        <w:tc>
          <w:tcPr>
            <w:tcW w:type="dxa" w:w="17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Mois 2</w:t>
            </w:r>
          </w:p>
        </w:tc>
        <w:tc>
          <w:tcPr>
            <w:tcW w:type="dxa" w:w="79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Premiers rendez-vous partenaires et dépôt de flyers. Première collaboration avec un créateur local. Analyse des campagnes, coupe des annonces faibles.</w:t>
            </w:r>
          </w:p>
        </w:tc>
      </w:tr>
      <w:tr>
        <w:trPr>
          <w:cantSplit/>
        </w:trPr>
        <w:tc>
          <w:tcPr>
            <w:tcW w:type="dxa" w:w="17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Mois 3</w:t>
            </w:r>
          </w:p>
        </w:tc>
        <w:tc>
          <w:tcPr>
            <w:tcW w:type="dxa" w:w="79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Lancement de la version portugaise (campagne D, contenus PT). Premier bilan trimestriel : coût d’inscription, taux de passage à Premium, ajustement du budget.</w:t>
            </w:r>
          </w:p>
        </w:tc>
      </w:tr>
    </w:tbl>
    <w:p>
      <w:pPr>
        <w:spacing w:after="120" w:before="0" w:line="30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D32"/>
          <w:sz w:val="28"/>
          <w:szCs w:val="28"/>
        </w:rPr>
        <w:t xml:space="preserve">Organisation : environ 5 heures par semaine</w:t>
      </w:r>
    </w:p>
    <w:p>
      <w:pPr>
        <w:pStyle w:val="ListParagraph"/>
        <w:numPr>
          <w:ilvl w:val="0"/>
          <w:numId w:val="2"/>
        </w:numPr>
        <w:spacing w:after="80" w:line="290"/>
      </w:pPr>
      <w:r>
        <w:rPr>
          <w:rFonts w:ascii="Calibri" w:cs="Calibri" w:eastAsia="Calibri" w:hAnsi="Calibri"/>
          <w:sz w:val="22"/>
          <w:szCs w:val="22"/>
        </w:rPr>
        <w:t xml:space="preserve">2 h : création des contenus de la semaine (Canva, vidéos tournées en série).</w:t>
      </w:r>
    </w:p>
    <w:p>
      <w:pPr>
        <w:pStyle w:val="ListParagraph"/>
        <w:numPr>
          <w:ilvl w:val="0"/>
          <w:numId w:val="2"/>
        </w:numPr>
        <w:spacing w:after="80" w:line="290"/>
      </w:pPr>
      <w:r>
        <w:rPr>
          <w:rFonts w:ascii="Calibri" w:cs="Calibri" w:eastAsia="Calibri" w:hAnsi="Calibri"/>
          <w:sz w:val="22"/>
          <w:szCs w:val="22"/>
        </w:rPr>
        <w:t xml:space="preserve">1 h : publication programmée et réponses aux messages.</w:t>
      </w:r>
    </w:p>
    <w:p>
      <w:pPr>
        <w:pStyle w:val="ListParagraph"/>
        <w:numPr>
          <w:ilvl w:val="0"/>
          <w:numId w:val="2"/>
        </w:numPr>
        <w:spacing w:after="80" w:line="290"/>
      </w:pPr>
      <w:r>
        <w:rPr>
          <w:rFonts w:ascii="Calibri" w:cs="Calibri" w:eastAsia="Calibri" w:hAnsi="Calibri"/>
          <w:sz w:val="22"/>
          <w:szCs w:val="22"/>
        </w:rPr>
        <w:t xml:space="preserve">1 h : suivi des campagnes et des indicateurs.</w:t>
      </w:r>
    </w:p>
    <w:p>
      <w:pPr>
        <w:pStyle w:val="ListParagraph"/>
        <w:numPr>
          <w:ilvl w:val="0"/>
          <w:numId w:val="2"/>
        </w:numPr>
        <w:spacing w:after="80" w:line="290"/>
      </w:pPr>
      <w:r>
        <w:rPr>
          <w:rFonts w:ascii="Calibri" w:cs="Calibri" w:eastAsia="Calibri" w:hAnsi="Calibri"/>
          <w:sz w:val="22"/>
          <w:szCs w:val="22"/>
        </w:rPr>
        <w:t xml:space="preserve">1 h : partenaires (appels, e-mails, rendez-vous).</w:t>
      </w:r>
    </w:p>
    <w:p>
      <w:pPr>
        <w:pStyle w:val="Heading1"/>
        <w:pageBreakBefore/>
        <w:spacing w:after="200"/>
      </w:pPr>
      <w:r>
        <w:rPr>
          <w:rFonts w:ascii="Calibri" w:cs="Calibri" w:eastAsia="Calibri" w:hAnsi="Calibri"/>
          <w:b/>
          <w:bCs/>
          <w:color w:val="0B2D5B"/>
          <w:sz w:val="36"/>
          <w:szCs w:val="36"/>
        </w:rPr>
        <w:t xml:space="preserve">9. Projection et pilotage</w:t>
      </w:r>
    </w:p>
    <w:p>
      <w:pPr>
        <w:spacing w:after="200"/>
        <w:jc w:val="center"/>
      </w:pPr>
      <w:r>
        <w:drawing>
          <wp:inline distT="0" distB="0" distL="0" distR="0">
            <wp:extent cx="5143500" cy="25717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571750"/>
                    </a:xfrm>
                    <a:prstGeom prst="rect">
                      <a:avLst/>
                    </a:prstGeom>
                  </pic:spPr>
                </pic:pic>
              </a:graphicData>
            </a:graphic>
          </wp:inline>
        </w:drawing>
      </w:r>
    </w:p>
    <w:p>
      <w:pPr>
        <w:spacing w:after="240" w:before="0" w:line="300"/>
        <w:jc w:val="center"/>
      </w:pPr>
      <w:r>
        <w:rPr>
          <w:rFonts w:ascii="Calibri" w:cs="Calibri" w:eastAsia="Calibri" w:hAnsi="Calibri"/>
          <w:i/>
          <w:iCs/>
          <w:color w:val="5B6577"/>
          <w:sz w:val="19"/>
          <w:szCs w:val="19"/>
        </w:rPr>
        <w:t xml:space="preserve">Scénario prudent : inscriptions cumulées et abonnés payants</w:t>
      </w:r>
    </w:p>
    <w:p>
      <w:pPr>
        <w:pStyle w:val="Heading2"/>
        <w:spacing w:after="120" w:before="240"/>
      </w:pPr>
      <w:r>
        <w:rPr>
          <w:rFonts w:ascii="Calibri" w:cs="Calibri" w:eastAsia="Calibri" w:hAnsi="Calibri"/>
          <w:b/>
          <w:bCs/>
          <w:color w:val="2E7D32"/>
          <w:sz w:val="28"/>
          <w:szCs w:val="28"/>
        </w:rPr>
        <w:t xml:space="preserve">Hypothèses retenues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Hypothèse</w:t>
            </w:r>
          </w:p>
        </w:tc>
        <w:tc>
          <w:tcPr>
            <w:tcW w:type="dxa" w:w="5438"/>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Valeur</w:t>
            </w:r>
          </w:p>
        </w:tc>
      </w:tr>
      <w:tr>
        <w:trPr>
          <w:cantSplit/>
        </w:trPr>
        <w:tc>
          <w:tcPr>
            <w:tcW w:type="dxa" w:w="42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Nouvelles inscriptions par mois</w:t>
            </w:r>
          </w:p>
        </w:tc>
        <w:tc>
          <w:tcPr>
            <w:tcW w:type="dxa" w:w="54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40 au départ, puis +10 à +20 par mois jusqu’à 180 au 12e mois</w:t>
            </w:r>
          </w:p>
        </w:tc>
      </w:tr>
      <w:tr>
        <w:trPr>
          <w:cantSplit/>
        </w:trPr>
        <w:tc>
          <w:tcPr>
            <w:tcW w:type="dxa" w:w="42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Passage du gratuit au payant</w:t>
            </w:r>
          </w:p>
        </w:tc>
        <w:tc>
          <w:tcPr>
            <w:tcW w:type="dxa" w:w="54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 4 % des inscrits actifs, progressivement</w:t>
            </w:r>
          </w:p>
        </w:tc>
      </w:tr>
      <w:tr>
        <w:trPr>
          <w:cantSplit/>
        </w:trPr>
        <w:tc>
          <w:tcPr>
            <w:tcW w:type="dxa" w:w="42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Revenu moyen par abonné</w:t>
            </w:r>
          </w:p>
        </w:tc>
        <w:tc>
          <w:tcPr>
            <w:tcW w:type="dxa" w:w="54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 10 €/mois (mélange mensuel et annuel)</w:t>
            </w:r>
          </w:p>
        </w:tc>
      </w:tr>
      <w:tr>
        <w:trPr>
          <w:cantSplit/>
        </w:trPr>
        <w:tc>
          <w:tcPr>
            <w:tcW w:type="dxa" w:w="42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Seuil d’autofinancement du marketing</w:t>
            </w:r>
          </w:p>
        </w:tc>
        <w:tc>
          <w:tcPr>
            <w:tcW w:type="dxa" w:w="54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 30 abonnés, atteint vers le 9e mois</w:t>
            </w:r>
          </w:p>
        </w:tc>
      </w:tr>
      <w:tr>
        <w:trPr>
          <w:cantSplit/>
        </w:trPr>
        <w:tc>
          <w:tcPr>
            <w:tcW w:type="dxa" w:w="42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À 12 mois</w:t>
            </w:r>
          </w:p>
        </w:tc>
        <w:tc>
          <w:tcPr>
            <w:tcW w:type="dxa" w:w="54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 1 440 inscrits, ≈ 55 abonnés, ≈ 550 €/mois de revenu récurrent</w:t>
            </w:r>
          </w:p>
        </w:tc>
      </w:tr>
    </w:tbl>
    <w:p>
      <w:pPr>
        <w:spacing w:after="120" w:before="0" w:line="30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B45309" w:sz="24"/>
              <w:bottom w:val="none"/>
              <w:right w:val="none"/>
            </w:tcBorders>
            <w:shd w:fill="FFF4E5" w:color="auto" w:val="clear"/>
            <w:tcMar>
              <w:top w:type="dxa" w:w="140"/>
              <w:left w:type="dxa" w:w="220"/>
              <w:bottom w:type="dxa" w:w="140"/>
              <w:right w:type="dxa" w:w="200"/>
            </w:tcMar>
          </w:tcPr>
          <w:p>
            <w:pPr>
              <w:spacing w:after="80" w:before="0" w:line="300"/>
            </w:pPr>
            <w:r>
              <w:rPr>
                <w:rFonts w:ascii="Calibri" w:cs="Calibri" w:eastAsia="Calibri" w:hAnsi="Calibri"/>
                <w:b/>
                <w:bCs/>
                <w:color w:val="B45309"/>
                <w:sz w:val="23"/>
                <w:szCs w:val="23"/>
              </w:rPr>
              <w:t xml:space="preserve">À lire avec prudence</w:t>
            </w:r>
          </w:p>
          <w:p>
            <w:pPr>
              <w:spacing w:after="60" w:before="0" w:line="300"/>
            </w:pPr>
            <w:r>
              <w:rPr>
                <w:rFonts w:ascii="Calibri" w:cs="Calibri" w:eastAsia="Calibri" w:hAnsi="Calibri"/>
                <w:sz w:val="22"/>
                <w:szCs w:val="22"/>
              </w:rPr>
              <w:t xml:space="preserve">Ces chiffres sont des </w:t>
            </w:r>
            <w:r>
              <w:rPr>
                <w:rFonts w:ascii="Calibri" w:cs="Calibri" w:eastAsia="Calibri" w:hAnsi="Calibri"/>
                <w:b/>
                <w:bCs/>
                <w:sz w:val="22"/>
                <w:szCs w:val="22"/>
              </w:rPr>
              <w:t xml:space="preserve">hypothèses de travail</w:t>
            </w:r>
            <w:r>
              <w:rPr>
                <w:rFonts w:ascii="Calibri" w:cs="Calibri" w:eastAsia="Calibri" w:hAnsi="Calibri"/>
                <w:sz w:val="22"/>
                <w:szCs w:val="22"/>
              </w:rPr>
              <w:t xml:space="preserve">, pas des promesses. Ils seront recalés dès le premier mois de publicité avec les vrais coûts et taux de conversion. Un partenariat fort (Caf, médiateurs) peut doubler les inscriptions sans dépense supplémentaire.</w:t>
            </w:r>
          </w:p>
        </w:tc>
      </w:tr>
    </w:tbl>
    <w:p>
      <w:pPr>
        <w:spacing w:after="120" w:before="0" w:line="300"/>
      </w:pPr>
      <w:r>
        <w:rPr>
          <w:rFonts w:ascii="Calibri" w:cs="Calibri" w:eastAsia="Calibri" w:hAnsi="Calibri"/>
          <w:sz w:val="22"/>
          <w:szCs w:val="22"/>
        </w:rPr>
        <w:t xml:space="preserve"/>
      </w:r>
    </w:p>
    <w:p>
      <w:pPr>
        <w:pStyle w:val="Heading2"/>
        <w:pageBreakBefore/>
        <w:spacing w:after="120" w:before="240"/>
      </w:pPr>
      <w:r>
        <w:rPr>
          <w:rFonts w:ascii="Calibri" w:cs="Calibri" w:eastAsia="Calibri" w:hAnsi="Calibri"/>
          <w:b/>
          <w:bCs/>
          <w:color w:val="2E7D32"/>
          <w:sz w:val="28"/>
          <w:szCs w:val="28"/>
        </w:rPr>
        <w:t xml:space="preserve">Le tableau de bord mensuel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080"/>
        <w:gridCol w:w="2080"/>
        <w:gridCol w:w="2078"/>
      </w:tblGrid>
      <w:tr>
        <w:trPr>
          <w:tblHeader/>
        </w:trPr>
        <w:tc>
          <w:tcPr>
            <w:tcW w:type="dxa" w:w="340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Indicateur</w:t>
            </w:r>
          </w:p>
        </w:tc>
        <w:tc>
          <w:tcPr>
            <w:tcW w:type="dxa" w:w="208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Cible M3</w:t>
            </w:r>
          </w:p>
        </w:tc>
        <w:tc>
          <w:tcPr>
            <w:tcW w:type="dxa" w:w="208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Cible M6</w:t>
            </w:r>
          </w:p>
        </w:tc>
        <w:tc>
          <w:tcPr>
            <w:tcW w:type="dxa" w:w="2078"/>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Cible M12</w:t>
            </w:r>
          </w:p>
        </w:tc>
      </w:tr>
      <w:tr>
        <w:trPr>
          <w:cantSplit/>
        </w:trPr>
        <w:tc>
          <w:tcPr>
            <w:tcW w:type="dxa" w:w="34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Inscriptions du mois</w:t>
            </w:r>
          </w:p>
        </w:tc>
        <w:tc>
          <w:tcPr>
            <w:tcW w:type="dxa" w:w="20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80</w:t>
            </w:r>
          </w:p>
        </w:tc>
        <w:tc>
          <w:tcPr>
            <w:tcW w:type="dxa" w:w="20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120</w:t>
            </w:r>
          </w:p>
        </w:tc>
        <w:tc>
          <w:tcPr>
            <w:tcW w:type="dxa" w:w="207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180</w:t>
            </w:r>
          </w:p>
        </w:tc>
      </w:tr>
      <w:tr>
        <w:trPr>
          <w:cantSplit/>
        </w:trPr>
        <w:tc>
          <w:tcPr>
            <w:tcW w:type="dxa" w:w="34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Inscrits cumulés</w:t>
            </w:r>
          </w:p>
        </w:tc>
        <w:tc>
          <w:tcPr>
            <w:tcW w:type="dxa" w:w="208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180</w:t>
            </w:r>
          </w:p>
        </w:tc>
        <w:tc>
          <w:tcPr>
            <w:tcW w:type="dxa" w:w="208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510</w:t>
            </w:r>
          </w:p>
        </w:tc>
        <w:tc>
          <w:tcPr>
            <w:tcW w:type="dxa" w:w="207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1 440</w:t>
            </w:r>
          </w:p>
        </w:tc>
      </w:tr>
      <w:tr>
        <w:trPr>
          <w:cantSplit/>
        </w:trPr>
        <w:tc>
          <w:tcPr>
            <w:tcW w:type="dxa" w:w="34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Abonnés payants</w:t>
            </w:r>
          </w:p>
        </w:tc>
        <w:tc>
          <w:tcPr>
            <w:tcW w:type="dxa" w:w="20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4</w:t>
            </w:r>
          </w:p>
        </w:tc>
        <w:tc>
          <w:tcPr>
            <w:tcW w:type="dxa" w:w="20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15</w:t>
            </w:r>
          </w:p>
        </w:tc>
        <w:tc>
          <w:tcPr>
            <w:tcW w:type="dxa" w:w="207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55</w:t>
            </w:r>
          </w:p>
        </w:tc>
      </w:tr>
      <w:tr>
        <w:trPr>
          <w:cantSplit/>
        </w:trPr>
        <w:tc>
          <w:tcPr>
            <w:tcW w:type="dxa" w:w="34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Coût par inscription (pub)</w:t>
            </w:r>
          </w:p>
        </w:tc>
        <w:tc>
          <w:tcPr>
            <w:tcW w:type="dxa" w:w="208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&lt; 4 €</w:t>
            </w:r>
          </w:p>
        </w:tc>
        <w:tc>
          <w:tcPr>
            <w:tcW w:type="dxa" w:w="208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&lt; 3 €</w:t>
            </w:r>
          </w:p>
        </w:tc>
        <w:tc>
          <w:tcPr>
            <w:tcW w:type="dxa" w:w="207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&lt; 2,50 €</w:t>
            </w:r>
          </w:p>
        </w:tc>
      </w:tr>
      <w:tr>
        <w:trPr>
          <w:cantSplit/>
        </w:trPr>
        <w:tc>
          <w:tcPr>
            <w:tcW w:type="dxa" w:w="34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Abonnés réseaux (total)</w:t>
            </w:r>
          </w:p>
        </w:tc>
        <w:tc>
          <w:tcPr>
            <w:tcW w:type="dxa" w:w="20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500</w:t>
            </w:r>
          </w:p>
        </w:tc>
        <w:tc>
          <w:tcPr>
            <w:tcW w:type="dxa" w:w="20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1 500</w:t>
            </w:r>
          </w:p>
        </w:tc>
        <w:tc>
          <w:tcPr>
            <w:tcW w:type="dxa" w:w="207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4 000</w:t>
            </w:r>
          </w:p>
        </w:tc>
      </w:tr>
      <w:tr>
        <w:trPr>
          <w:cantSplit/>
        </w:trPr>
        <w:tc>
          <w:tcPr>
            <w:tcW w:type="dxa" w:w="34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Partenaires actifs</w:t>
            </w:r>
          </w:p>
        </w:tc>
        <w:tc>
          <w:tcPr>
            <w:tcW w:type="dxa" w:w="208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3</w:t>
            </w:r>
          </w:p>
        </w:tc>
        <w:tc>
          <w:tcPr>
            <w:tcW w:type="dxa" w:w="208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8</w:t>
            </w:r>
          </w:p>
        </w:tc>
        <w:tc>
          <w:tcPr>
            <w:tcW w:type="dxa" w:w="207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15</w:t>
            </w:r>
          </w:p>
        </w:tc>
      </w:tr>
      <w:tr>
        <w:trPr>
          <w:cantSplit/>
        </w:trPr>
        <w:tc>
          <w:tcPr>
            <w:tcW w:type="dxa" w:w="34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Visites naturelles (Google, IA)/mois</w:t>
            </w:r>
          </w:p>
        </w:tc>
        <w:tc>
          <w:tcPr>
            <w:tcW w:type="dxa" w:w="20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300</w:t>
            </w:r>
          </w:p>
        </w:tc>
        <w:tc>
          <w:tcPr>
            <w:tcW w:type="dxa" w:w="20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1 000</w:t>
            </w:r>
          </w:p>
        </w:tc>
        <w:tc>
          <w:tcPr>
            <w:tcW w:type="dxa" w:w="207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3 000</w:t>
            </w:r>
          </w:p>
        </w:tc>
      </w:tr>
    </w:tbl>
    <w:p>
      <w:pPr>
        <w:pStyle w:val="Heading1"/>
        <w:pageBreakBefore/>
        <w:spacing w:after="200"/>
      </w:pPr>
      <w:r>
        <w:rPr>
          <w:rFonts w:ascii="Calibri" w:cs="Calibri" w:eastAsia="Calibri" w:hAnsi="Calibri"/>
          <w:b/>
          <w:bCs/>
          <w:color w:val="0B2D5B"/>
          <w:sz w:val="36"/>
          <w:szCs w:val="36"/>
        </w:rPr>
        <w:t xml:space="preserve">10. Risques et garde-fous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Risque</w:t>
            </w:r>
          </w:p>
        </w:tc>
        <w:tc>
          <w:tcPr>
            <w:tcW w:type="dxa" w:w="6638"/>
            <w:tcBorders>
              <w:top w:val="single" w:color="C9D3E3" w:sz="4"/>
              <w:left w:val="single" w:color="C9D3E3" w:sz="4"/>
              <w:bottom w:val="single" w:color="C9D3E3" w:sz="4"/>
              <w:right w:val="single" w:color="C9D3E3" w:sz="4"/>
            </w:tcBorders>
            <w:shd w:fill="0B2D5B" w:color="auto" w:val="clear"/>
            <w:tcMar>
              <w:top w:type="dxa" w:w="70"/>
              <w:left w:type="dxa" w:w="110"/>
              <w:bottom w:type="dxa" w:w="70"/>
              <w:right w:type="dxa" w:w="110"/>
            </w:tcMar>
            <w:vAlign w:val="center"/>
          </w:tcPr>
          <w:p>
            <w:pPr>
              <w:spacing w:after="30"/>
              <w:jc w:val="left"/>
            </w:pPr>
            <w:r>
              <w:rPr>
                <w:rFonts w:ascii="Calibri" w:cs="Calibri" w:eastAsia="Calibri" w:hAnsi="Calibri"/>
                <w:b/>
                <w:bCs/>
                <w:color w:val="FFFFFF"/>
                <w:sz w:val="19"/>
                <w:szCs w:val="19"/>
              </w:rPr>
              <w:t xml:space="preserve">Réponse</w:t>
            </w:r>
          </w:p>
        </w:tc>
      </w:tr>
      <w:tr>
        <w:trPr>
          <w:cantSplit/>
        </w:trPr>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Sujet sensible (conflits, enfants)</w:t>
            </w:r>
          </w:p>
        </w:tc>
        <w:tc>
          <w:tcPr>
            <w:tcW w:type="dxa" w:w="66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Ton neutre et bienveillant, jamais de prise de parti, modération rapide, aucune donnée personnelle en public.</w:t>
            </w:r>
          </w:p>
        </w:tc>
      </w:tr>
      <w:tr>
        <w:trPr>
          <w:cantSplit/>
        </w:trPr>
        <w:tc>
          <w:tcPr>
            <w:tcW w:type="dxa" w:w="30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Règles publicitaires Meta</w:t>
            </w:r>
          </w:p>
        </w:tc>
        <w:tc>
          <w:tcPr>
            <w:tcW w:type="dxa" w:w="66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Pas d’annonce qui présume la situation de la personne ; messages centrés sur le service.</w:t>
            </w:r>
          </w:p>
        </w:tc>
      </w:tr>
      <w:tr>
        <w:trPr>
          <w:cantSplit/>
        </w:trPr>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Confiance et données</w:t>
            </w:r>
          </w:p>
        </w:tc>
        <w:tc>
          <w:tcPr>
            <w:tcW w:type="dxa" w:w="66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Mettre en avant l’hébergement en Europe et le chiffrement en transit et au repos ; mentions légales complètes avant toute publicité.</w:t>
            </w:r>
          </w:p>
        </w:tc>
      </w:tr>
      <w:tr>
        <w:trPr>
          <w:cantSplit/>
        </w:trPr>
        <w:tc>
          <w:tcPr>
            <w:tcW w:type="dxa" w:w="30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Faux avis</w:t>
            </w:r>
          </w:p>
        </w:tc>
        <w:tc>
          <w:tcPr>
            <w:tcW w:type="dxa" w:w="66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Interdits : uniquement des témoignages réels avec accord écrit.</w:t>
            </w:r>
          </w:p>
        </w:tc>
      </w:tr>
      <w:tr>
        <w:trPr>
          <w:cantSplit/>
        </w:trPr>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Budget trop dispersé</w:t>
            </w:r>
          </w:p>
        </w:tc>
        <w:tc>
          <w:tcPr>
            <w:tcW w:type="dxa" w:w="66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Concentration sur Facebook, WhatsApp et partenaires au départ ; les autres canaux grandissent avec les résultats.</w:t>
            </w:r>
          </w:p>
        </w:tc>
      </w:tr>
      <w:tr>
        <w:trPr>
          <w:cantSplit/>
        </w:trPr>
        <w:tc>
          <w:tcPr>
            <w:tcW w:type="dxa" w:w="3000"/>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bCs/>
                <w:sz w:val="19"/>
                <w:szCs w:val="19"/>
              </w:rPr>
              <w:t xml:space="preserve">Manque de temps</w:t>
            </w:r>
          </w:p>
        </w:tc>
        <w:tc>
          <w:tcPr>
            <w:tcW w:type="dxa" w:w="6638"/>
            <w:tcBorders>
              <w:top w:val="single" w:color="C9D3E3" w:sz="4"/>
              <w:left w:val="single" w:color="C9D3E3" w:sz="4"/>
              <w:bottom w:val="single" w:color="C9D3E3" w:sz="4"/>
              <w:right w:val="single" w:color="C9D3E3" w:sz="4"/>
            </w:tcBorders>
            <w:shd w:fill="F4F7FB" w:color="auto" w:val="clear"/>
            <w:tcMar>
              <w:top w:type="dxa" w:w="70"/>
              <w:left w:type="dxa" w:w="110"/>
              <w:bottom w:type="dxa" w:w="70"/>
              <w:right w:type="dxa" w:w="110"/>
            </w:tcMar>
            <w:vAlign w:val="center"/>
          </w:tcPr>
          <w:p>
            <w:pPr>
              <w:spacing w:after="30"/>
              <w:jc w:val="left"/>
            </w:pPr>
            <w:r>
              <w:rPr>
                <w:rFonts w:ascii="Calibri" w:cs="Calibri" w:eastAsia="Calibri" w:hAnsi="Calibri"/>
                <w:b w:val="false"/>
                <w:bCs w:val="false"/>
                <w:sz w:val="19"/>
                <w:szCs w:val="19"/>
              </w:rPr>
              <w:t xml:space="preserve">Contenus produits en série une fois par semaine et programmés ; routine de 5 h par semaine.</w:t>
            </w:r>
          </w:p>
        </w:tc>
      </w:tr>
    </w:tbl>
    <w:p>
      <w:pPr>
        <w:spacing w:after="120" w:before="0" w:line="30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D32"/>
          <w:sz w:val="28"/>
          <w:szCs w:val="28"/>
        </w:rPr>
        <w:t xml:space="preserve">Sources</w:t>
      </w:r>
    </w:p>
    <w:p>
      <w:pPr>
        <w:pStyle w:val="ListParagraph"/>
        <w:numPr>
          <w:ilvl w:val="0"/>
          <w:numId w:val="2"/>
        </w:numPr>
        <w:spacing w:after="80" w:line="290"/>
      </w:pPr>
      <w:r>
        <w:rPr>
          <w:rFonts w:ascii="Calibri" w:cs="Calibri" w:eastAsia="Calibri" w:hAnsi="Calibri"/>
          <w:sz w:val="22"/>
          <w:szCs w:val="22"/>
        </w:rPr>
        <w:t xml:space="preserve">INSEE, Bilan démographique 2024 de la Guyane (Insee Flash Guyane, avril 2025) : 292 400 habitants au 1er janvier 2025.</w:t>
      </w:r>
    </w:p>
    <w:p>
      <w:pPr>
        <w:pStyle w:val="ListParagraph"/>
        <w:numPr>
          <w:ilvl w:val="0"/>
          <w:numId w:val="2"/>
        </w:numPr>
        <w:spacing w:after="80" w:line="290"/>
      </w:pPr>
      <w:r>
        <w:rPr>
          <w:rFonts w:ascii="Calibri" w:cs="Calibri" w:eastAsia="Calibri" w:hAnsi="Calibri"/>
          <w:sz w:val="22"/>
          <w:szCs w:val="22"/>
        </w:rPr>
        <w:t xml:space="preserve">INSEE, Familles en Guyane (données 2013) : 39,1 % de familles monoparentales.</w:t>
      </w:r>
    </w:p>
    <w:p>
      <w:pPr>
        <w:pStyle w:val="ListParagraph"/>
        <w:numPr>
          <w:ilvl w:val="0"/>
          <w:numId w:val="2"/>
        </w:numPr>
        <w:spacing w:after="80" w:line="290"/>
      </w:pPr>
      <w:r>
        <w:rPr>
          <w:rFonts w:ascii="Calibri" w:cs="Calibri" w:eastAsia="Calibri" w:hAnsi="Calibri"/>
          <w:sz w:val="22"/>
          <w:szCs w:val="22"/>
        </w:rPr>
        <w:t xml:space="preserve">INSEE, publication de janvier 2025 sur les enfants en famille monoparentale en Guyane (données 2021).</w:t>
      </w:r>
    </w:p>
    <w:p>
      <w:pPr>
        <w:pStyle w:val="ListParagraph"/>
        <w:numPr>
          <w:ilvl w:val="0"/>
          <w:numId w:val="2"/>
        </w:numPr>
        <w:spacing w:after="80" w:line="290"/>
      </w:pPr>
      <w:r>
        <w:rPr>
          <w:rFonts w:ascii="Calibri" w:cs="Calibri" w:eastAsia="Calibri" w:hAnsi="Calibri"/>
          <w:sz w:val="22"/>
          <w:szCs w:val="22"/>
        </w:rPr>
        <w:t xml:space="preserve">Préfecture de la Guyane, Pacte local des solidarités, diagnostic territorial (octobre 2023) : 45 % de familles monoparentales en 2020.</w:t>
      </w:r>
    </w:p>
    <w:p>
      <w:pPr>
        <w:pStyle w:val="ListParagraph"/>
        <w:numPr>
          <w:ilvl w:val="0"/>
          <w:numId w:val="2"/>
        </w:numPr>
        <w:spacing w:after="80" w:line="290"/>
      </w:pPr>
      <w:r>
        <w:rPr>
          <w:rFonts w:ascii="Calibri" w:cs="Calibri" w:eastAsia="Calibri" w:hAnsi="Calibri"/>
          <w:sz w:val="22"/>
          <w:szCs w:val="22"/>
        </w:rPr>
        <w:t xml:space="preserve">Tarifs : application Lien Parental (components/profil/pricing.ts), octobre 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7"/>
        <w:sz w:val="17"/>
        <w:szCs w:val="17"/>
      </w:rPr>
      <w:t xml:space="preserve">Page </w:t>
    </w:r>
    <w:r>
      <w:rPr>
        <w:rFonts w:ascii="Calibri" w:cs="Calibri" w:eastAsia="Calibri" w:hAnsi="Calibri"/>
        <w:color w:val="5B6577"/>
        <w:sz w:val="17"/>
        <w:szCs w:val="17"/>
      </w:rPr>
      <w:fldChar w:fldCharType="begin"/>
    </w:r>
    <w:r>
      <w:rPr>
        <w:rFonts w:ascii="Calibri" w:cs="Calibri" w:eastAsia="Calibri" w:hAnsi="Calibri"/>
        <w:color w:val="5B6577"/>
        <w:sz w:val="17"/>
        <w:szCs w:val="17"/>
      </w:rPr>
      <w:instrText xml:space="preserve">PAGE</w:instrText>
    </w:r>
    <w:r>
      <w:rPr>
        <w:rFonts w:ascii="Calibri" w:cs="Calibri" w:eastAsia="Calibri" w:hAnsi="Calibri"/>
        <w:color w:val="5B6577"/>
        <w:sz w:val="17"/>
        <w:szCs w:val="17"/>
      </w:rPr>
      <w:fldChar w:fldCharType="separate"/>
    </w:r>
    <w:r>
      <w:rPr>
        <w:rFonts w:ascii="Calibri" w:cs="Calibri" w:eastAsia="Calibri" w:hAnsi="Calibri"/>
        <w:color w:val="5B6577"/>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00"/>
      <w:jc w:val="right"/>
    </w:pPr>
    <w:r>
      <w:rPr>
        <w:rFonts w:ascii="Calibri" w:cs="Calibri" w:eastAsia="Calibri" w:hAnsi="Calibri"/>
        <w:color w:val="5B6577"/>
        <w:sz w:val="17"/>
        <w:szCs w:val="17"/>
      </w:rPr>
      <w:t xml:space="preserve">Lien Parental · Stratégie commerciale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80"/>
      </w:pPr>
      <w:rPr>
        <w:color w:val="2E7D32"/>
      </w:rPr>
    </w:lvl>
    <w:lvl w:ilvl="1" w: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36e52ea2518315278c0cc75f33796bb661f4acb.png"/><Relationship Id="rId10" Type="http://schemas.openxmlformats.org/officeDocument/2006/relationships/image" Target="media/ce76920b564b268a525b14eb853e92d62b8e2dfe.png"/><Relationship Id="rId11" Type="http://schemas.openxmlformats.org/officeDocument/2006/relationships/image" Target="media/8cd1dc4f09aaaa0e1fd95eb950c6074978b7e76d.png"/><Relationship Id="rId12" Type="http://schemas.openxmlformats.org/officeDocument/2006/relationships/image" Target="media/c44d5b46c273e73e639ce0920e210deec427a8ba.png"/><Relationship Id="rId13" Type="http://schemas.openxmlformats.org/officeDocument/2006/relationships/image" Target="media/85bbe3bbb8179000f1c075ca6f150554777d62d7.png"/><Relationship Id="rId14" Type="http://schemas.openxmlformats.org/officeDocument/2006/relationships/image" Target="media/fbc38b7697ac10d47a33f11d747f901023aadeb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Lien Parental — Stratégie commerciale</dc:title>
  <dc:creator>Pirabel Labs</dc:creator>
  <cp:lastModifiedBy>Un-named</cp:lastModifiedBy>
  <cp:revision>1</cp:revision>
  <dcterms:created xsi:type="dcterms:W3CDTF">2026-10-28T05:10:55.123Z</dcterms:created>
  <dcterms:modified xsi:type="dcterms:W3CDTF">2026-10-28T05:10:55.124Z</dcterms:modified>
</cp:coreProperties>
</file>

<file path=docProps/custom.xml><?xml version="1.0" encoding="utf-8"?>
<Properties xmlns="http://schemas.openxmlformats.org/officeDocument/2006/custom-properties" xmlns:vt="http://schemas.openxmlformats.org/officeDocument/2006/docPropsVTypes"/>
</file>