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Relational Topography for AI in Bacteriology: Designing a Dynamic Visual Platform on Virtual Private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artificial intelligence, high-throughput physical phenotyping, and genomic databases has transformed bacteriological research. Historically, computational workflows operated in functional isolation, relying on static tabular databases or single-purpose offline utilities. To modernise these architectures, this report outlines the software design, database schemas, and relational topography required to host a dynamic, web-based visual analytics platform on a cost-effective Virtual Private Server (VPS).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platform integrates disparate databases with machine learning classification engines. It establishes a dynamic layout that maps the competitive and synergistic relationships between active computational paradigms. Additionally, it implements an interactive, phylogenetic "Tree of Life" temporal timeline.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Six-Axis Workflow Paradigm of AI in Bacteriology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comprehensive visual platform, the software architecture must map directly to the six primary workflows of modern computational bacteriology. Each workflow represents a distinct sequence of data acquisition, algorithmic processing, and predictive outcomes.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AI IN BACTERIOLOGY                                 |</w:t>
        <w:br w:type="textWrapping"/>
        <w:t xml:space="preserve">       +-----------------------------------------------------------------------------------+</w:t>
        <w:br w:type="textWrapping"/>
        <w:t xml:space="preserve">             |                  |                 |                 |            |</w:t>
        <w:br w:type="textWrapping"/>
        <w:t xml:space="preserve">       (Diagnosis)       (Drug Discovery)   (AMR Prediction)    (Strain Typing) (Microscopy)</w:t>
        <w:br w:type="textWrapping"/>
        <w:t xml:space="preserve">             |                  |                 |                 |            |</w:t>
        <w:br w:type="textWrapping"/>
        <w:t xml:space="preserve">             v                  v                 v                 v            v</w:t>
        <w:br w:type="textWrapping"/>
        <w:t xml:space="preserve">       [Image/Genomics]            </w:t>
        <w:br w:type="textWrapping"/>
        <w:t xml:space="preserve">             |                  |                 |                 |            |</w:t>
        <w:br w:type="textWrapping"/>
        <w:t xml:space="preserve">             v                  v                 v                 v            v</w:t>
        <w:br w:type="textWrapping"/>
        <w:t xml:space="preserve">        [Activity Pred]        [Counts/Morph]</w:t>
        <w:br w:type="textWrapping"/>
        <w:t xml:space="preserve">             |                  |                 |                 |            |</w:t>
        <w:br w:type="textWrapping"/>
        <w:t xml:space="preserve">             v                  v                 v                 v            v</w:t>
        <w:br w:type="textWrapping"/>
        <w:t xml:space="preserve">       (Fast Diagnosis)  (Novel Leads)      (Prescribing)       (Outbreaks)  (Quant Data)</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translates these pipelines into a single visual model: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diagnostic axis ingests heterogeneous raw data, specifically combining microscopic structural imaging with whole-genome sequencing (WGS) read files.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Steps</w:t>
      </w:r>
      <w:r w:rsidDel="00000000" w:rsidR="00000000" w:rsidRPr="00000000">
        <w:rPr>
          <w:rFonts w:ascii="Google Sans" w:cs="Google Sans" w:eastAsia="Google Sans" w:hAnsi="Google Sans"/>
          <w:color w:val="1f1f1f"/>
          <w:rtl w:val="0"/>
        </w:rPr>
        <w:t xml:space="preserve">: First, the system ingests microscopic images or sequence data. Second, deep learning or classical machine learning models process these datasets to identify bacterial species and strains.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Platform Implementation</w:t>
      </w:r>
      <w:r w:rsidDel="00000000" w:rsidR="00000000" w:rsidRPr="00000000">
        <w:rPr>
          <w:rFonts w:ascii="Google Sans" w:cs="Google Sans" w:eastAsia="Google Sans" w:hAnsi="Google Sans"/>
          <w:color w:val="1f1f1f"/>
          <w:rtl w:val="0"/>
        </w:rPr>
        <w:t xml:space="preserve">: The dynamic interface renders taxonomic classification nodes mapped to automated species alerts. This shortens clinical timelines by providing faster, more accurate diagnostics.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Drug Discovery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axis screens massive chemical spaces to identify therapeutic candidates.</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Steps</w:t>
      </w:r>
      <w:r w:rsidDel="00000000" w:rsidR="00000000" w:rsidRPr="00000000">
        <w:rPr>
          <w:rFonts w:ascii="Google Sans" w:cs="Google Sans" w:eastAsia="Google Sans" w:hAnsi="Google Sans"/>
          <w:color w:val="1f1f1f"/>
          <w:rtl w:val="0"/>
        </w:rPr>
        <w:t xml:space="preserve">: First, the pipeline screens large compound databases (such as ZINC15 or the Broad Institute's Drug Repurposing Hub).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it predicts the antimicrobial activity of candidates using discriminative neural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Third, the models select structurally novel antibiotic candidates.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Platform Implementation</w:t>
      </w:r>
      <w:r w:rsidDel="00000000" w:rsidR="00000000" w:rsidRPr="00000000">
        <w:rPr>
          <w:rFonts w:ascii="Google Sans" w:cs="Google Sans" w:eastAsia="Google Sans" w:hAnsi="Google Sans"/>
          <w:color w:val="1f1f1f"/>
          <w:rtl w:val="0"/>
        </w:rPr>
        <w:t xml:space="preserve">: Interactive molecular dashboards render the chemical structures of top-ranked candidates, accelerating antibiotic development.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Antibiotic Resistance Prediction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pipeline bypasses slow, culture-based laboratory drug susceptibility tests by analyzing genomic markers.</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Steps</w:t>
      </w:r>
      <w:r w:rsidDel="00000000" w:rsidR="00000000" w:rsidRPr="00000000">
        <w:rPr>
          <w:rFonts w:ascii="Google Sans" w:cs="Google Sans" w:eastAsia="Google Sans" w:hAnsi="Google Sans"/>
          <w:color w:val="1f1f1f"/>
          <w:rtl w:val="0"/>
        </w:rPr>
        <w:t xml:space="preserve">: First, the system analyzes bacterial genomes and resistance patterns.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Second, machine learning classifiers predict resistance to specific classes of antibiotics.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Platform Implementation</w:t>
      </w:r>
      <w:r w:rsidDel="00000000" w:rsidR="00000000" w:rsidRPr="00000000">
        <w:rPr>
          <w:rFonts w:ascii="Google Sans" w:cs="Google Sans" w:eastAsia="Google Sans" w:hAnsi="Google Sans"/>
          <w:color w:val="1f1f1f"/>
          <w:rtl w:val="0"/>
        </w:rPr>
        <w:t xml:space="preserve">: The interface renders an automated resistome prediction profile, supporting informed antibiotic prescribing and resistance management.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Strain Typing and Epidemiology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axis supports public health surveillance by tracing pathogen transmission.</w:t>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Steps</w:t>
      </w:r>
      <w:r w:rsidDel="00000000" w:rsidR="00000000" w:rsidRPr="00000000">
        <w:rPr>
          <w:rFonts w:ascii="Google Sans" w:cs="Google Sans" w:eastAsia="Google Sans" w:hAnsi="Google Sans"/>
          <w:color w:val="1f1f1f"/>
          <w:rtl w:val="0"/>
        </w:rPr>
        <w:t xml:space="preserve">: First, the platform ingests and analyzes bacterial DNA sequences.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Second, algorithms identify and differentiate bacterial strains, grouping closely related isolates.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Platform Implementation</w:t>
      </w:r>
      <w:r w:rsidDel="00000000" w:rsidR="00000000" w:rsidRPr="00000000">
        <w:rPr>
          <w:rFonts w:ascii="Google Sans" w:cs="Google Sans" w:eastAsia="Google Sans" w:hAnsi="Google Sans"/>
          <w:color w:val="1f1f1f"/>
          <w:rtl w:val="0"/>
        </w:rPr>
        <w:t xml:space="preserve">: An epidemiologic mapping engine displays strain propagation patterns, enabling effective outbreak tracking and control.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Microscopy and Image Analysis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workflow replaces manual, error-prone human microscopy with automated visual processing.</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Steps</w:t>
      </w:r>
      <w:r w:rsidDel="00000000" w:rsidR="00000000" w:rsidRPr="00000000">
        <w:rPr>
          <w:rFonts w:ascii="Google Sans" w:cs="Google Sans" w:eastAsia="Google Sans" w:hAnsi="Google Sans"/>
          <w:color w:val="1f1f1f"/>
          <w:rtl w:val="0"/>
        </w:rPr>
        <w:t xml:space="preserve">: First, computer vision algorithms automate the analysis of microscopic images.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Second, the models count bacteria, measure cell morphology, and identify subcellular structures.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Platform Implementation</w:t>
      </w:r>
      <w:r w:rsidDel="00000000" w:rsidR="00000000" w:rsidRPr="00000000">
        <w:rPr>
          <w:rFonts w:ascii="Google Sans" w:cs="Google Sans" w:eastAsia="Google Sans" w:hAnsi="Google Sans"/>
          <w:color w:val="1f1f1f"/>
          <w:rtl w:val="0"/>
        </w:rPr>
        <w:t xml:space="preserve">: The interface displays annotated image overlays and morphology distribution plots, supporting efficient, quantitative data acquisition.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Modeling of Bacterial Growth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axis models growth kinetics under various environmental conditions.</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Steps</w:t>
      </w:r>
      <w:r w:rsidDel="00000000" w:rsidR="00000000" w:rsidRPr="00000000">
        <w:rPr>
          <w:rFonts w:ascii="Google Sans" w:cs="Google Sans" w:eastAsia="Google Sans" w:hAnsi="Google Sans"/>
          <w:color w:val="1f1f1f"/>
          <w:rtl w:val="0"/>
        </w:rPr>
        <w:t xml:space="preserve">: First, models analyze environmental factors (such as temperature, pH, and oxygen tolerance) alongside genomic traits.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Second, machine learning engines predict bacterial growth and behavior.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Platform Implementation</w:t>
      </w:r>
      <w:r w:rsidDel="00000000" w:rsidR="00000000" w:rsidRPr="00000000">
        <w:rPr>
          <w:rFonts w:ascii="Google Sans" w:cs="Google Sans" w:eastAsia="Google Sans" w:hAnsi="Google Sans"/>
          <w:color w:val="1f1f1f"/>
          <w:rtl w:val="0"/>
        </w:rPr>
        <w:t xml:space="preserve">: Kinetic curves display predicted growth rates, supporting optimized industrial bioprocesses and clinical infection control strategies.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Dialectic of Methodological Conflict: Mapping Paradigm Wars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page does not simply list these six axes. Instead, it positions them to reflect the </w:t>
      </w:r>
      <w:r w:rsidDel="00000000" w:rsidR="00000000" w:rsidRPr="00000000">
        <w:rPr>
          <w:rFonts w:ascii="Google Sans" w:cs="Google Sans" w:eastAsia="Google Sans" w:hAnsi="Google Sans"/>
          <w:b w:val="1"/>
          <w:bCs w:val="1"/>
          <w:color w:val="1f1f1f"/>
          <w:rtl w:val="0"/>
        </w:rPr>
        <w:t xml:space="preserve">methodological conflicts</w:t>
      </w:r>
      <w:r w:rsidDel="00000000" w:rsidR="00000000" w:rsidRPr="00000000">
        <w:rPr>
          <w:rFonts w:ascii="Google Sans" w:cs="Google Sans" w:eastAsia="Google Sans" w:hAnsi="Google Sans"/>
          <w:color w:val="1f1f1f"/>
          <w:rtl w:val="0"/>
        </w:rPr>
        <w:t xml:space="preserve"> that define modern computational biology. This design maps the technical trade-offs, analytical limitations, and competitive matches between different approaches.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Genotypic Inference                    Spectrochemical Phenotyping</w:t>
        <w:br w:type="textWrapping"/>
        <w:t xml:space="preserve">+------------------------+              +------------------------------+</w:t>
        <w:br w:type="textWrapping"/>
        <w:t xml:space="preserve">| Sequence-Based Models  |  &lt;-- VS. --&gt; | Physical Signal Fingerprints |</w:t>
        <w:br w:type="textWrapping"/>
        <w:t xml:space="preserve">| (DeepARG, Mykrobe)     |              | (MALDI-TOF MS, Raman)        |</w:t>
        <w:br w:type="textWrapping"/>
        <w:t xml:space="preserve">+------------------------+              +------------------------------+</w:t>
        <w:br w:type="textWrapping"/>
        <w:t xml:space="preserve">  - Static genomic maps                   - Ultrafast real-time signals</w:t>
        <w:br w:type="textWrapping"/>
        <w:t xml:space="preserve">  - Misses epigenetic shifts              - Instrument noise vulnerability</w:t>
        <w:br w:type="textWrapping"/>
        <w:t xml:space="preserve">  </w:t>
        <w:br w:type="textWrapping"/>
        <w:t xml:space="preserve">    Broad-Spectrum Screens                 Narrow-Spectrum Targeting</w:t>
        <w:br w:type="textWrapping"/>
        <w:t xml:space="preserve">+------------------------+              +------------------------------+</w:t>
        <w:br w:type="textWrapping"/>
        <w:t xml:space="preserve">| Wide Chemical Search   |  &lt;-- VS. --&gt; | Selective Target Selection   |</w:t>
        <w:br w:type="textWrapping"/>
        <w:t xml:space="preserve">| (Halicin, PMF Dissip.) |              | (Abaucin, LolE Inhibition)   |</w:t>
        <w:br w:type="textWrapping"/>
        <w:t xml:space="preserve">+------------------------+              +------------------------------+</w:t>
        <w:br w:type="textWrapping"/>
        <w:t xml:space="preserve">  - Eradicates microbiomes                - Preserves host microbiomes</w:t>
        <w:br w:type="textWrapping"/>
        <w:t xml:space="preserve">  - Drives systemic resistance            - Requires fast diagnostic pairs</w:t>
        <w:br w:type="textWrapping"/>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Genotypic Inference versus Spectrochemical Phenotyping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conflict pits sequence-based models against physical spectrochemical profiling.</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Sequence-Based Prediction</w:t>
      </w:r>
      <w:r w:rsidDel="00000000" w:rsidR="00000000" w:rsidRPr="00000000">
        <w:rPr>
          <w:rFonts w:ascii="Google Sans" w:cs="Google Sans" w:eastAsia="Google Sans" w:hAnsi="Google Sans"/>
          <w:color w:val="1f1f1f"/>
          <w:rtl w:val="0"/>
        </w:rPr>
        <w:t xml:space="preserve">: Models such as DeepARG and Mykrobe infer resistance profiles by scanning for specific genetic variants, assemblies, or k-mer distributions.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approach provides highly interpretable genetic targets but assumes a static genome. It often misses phenotypic changes caused by transcriptomic regulation, epigenetic modifications, or novel epistatic gene interactions.</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Spectrochemical Phenotyping</w:t>
      </w:r>
      <w:r w:rsidDel="00000000" w:rsidR="00000000" w:rsidRPr="00000000">
        <w:rPr>
          <w:rFonts w:ascii="Google Sans" w:cs="Google Sans" w:eastAsia="Google Sans" w:hAnsi="Google Sans"/>
          <w:color w:val="1f1f1f"/>
          <w:rtl w:val="0"/>
        </w:rPr>
        <w:t xml:space="preserve">: Technologies like MALDI-TOF Mass Spectrometry (MALDI-TOF MS) and Raman Spectroscopy bypass sequence alignments entirely.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Instead, they capture physical, signal-based fingerprints directly from clinical isolates in under five minutes.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approach bypasses genetic assumptions but operates as a "black box" that can be sensitive to background instrument noise and sample preparation variations.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Visual Presentation</w:t>
      </w:r>
      <w:r w:rsidDel="00000000" w:rsidR="00000000" w:rsidRPr="00000000">
        <w:rPr>
          <w:rFonts w:ascii="Google Sans" w:cs="Google Sans" w:eastAsia="Google Sans" w:hAnsi="Google Sans"/>
          <w:color w:val="1f1f1f"/>
          <w:rtl w:val="0"/>
        </w:rPr>
        <w:t xml:space="preserve">: On the platform, these tools are placed on opposite sides of a "Diagnostic War" axis. This allows users to compare genomic classifications directly with real-time physical spectral signals.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Broad-Spectrum Chemogenomic Screens versus Narrow-Spectrum Targeted Syntheses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conflict highlights the trade-offs between broad-spectrum discovery and narrow-spectrum, pathogen-specific targeting.</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Broad-Spectrum Discovery</w:t>
      </w:r>
      <w:r w:rsidDel="00000000" w:rsidR="00000000" w:rsidRPr="00000000">
        <w:rPr>
          <w:rFonts w:ascii="Google Sans" w:cs="Google Sans" w:eastAsia="Google Sans" w:hAnsi="Google Sans"/>
          <w:color w:val="1f1f1f"/>
          <w:rtl w:val="0"/>
        </w:rPr>
        <w:t xml:space="preserve">: Traditional AI models screen chemical libraries for molecules like Halicin, which target general cellular properties such as the transmembrane proton motive force.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highly effective against multidrug-resistant pathogens, broad-spectrum compounds disrupt the host microbiome and select for widespread resistance.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Narrow-Spectrum Targeting</w:t>
      </w:r>
      <w:r w:rsidDel="00000000" w:rsidR="00000000" w:rsidRPr="00000000">
        <w:rPr>
          <w:rFonts w:ascii="Google Sans" w:cs="Google Sans" w:eastAsia="Google Sans" w:hAnsi="Google Sans"/>
          <w:color w:val="1f1f1f"/>
          <w:rtl w:val="0"/>
        </w:rPr>
        <w:t xml:space="preserve">: Targeted models search for molecules like Abaucin, which selectively disrupt pathways unique to specific pathogens, such as the LolE lipoprotein trafficking system in </w:t>
      </w:r>
      <w:r w:rsidDel="00000000" w:rsidR="00000000" w:rsidRPr="00000000">
        <w:rPr>
          <w:rFonts w:ascii="Google Sans" w:cs="Google Sans" w:eastAsia="Google Sans" w:hAnsi="Google Sans"/>
          <w:i w:val="1"/>
          <w:iCs w:val="1"/>
          <w:color w:val="1f1f1f"/>
          <w:rtl w:val="0"/>
        </w:rPr>
        <w:t xml:space="preserve">Acinetobacter baumannii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approach preserves host microbiomes but requires rapid, highly precise diagnostic tests to identify the pathogen before prescribing.</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Visual Presentation</w:t>
      </w:r>
      <w:r w:rsidDel="00000000" w:rsidR="00000000" w:rsidRPr="00000000">
        <w:rPr>
          <w:rFonts w:ascii="Google Sans" w:cs="Google Sans" w:eastAsia="Google Sans" w:hAnsi="Google Sans"/>
          <w:color w:val="1f1f1f"/>
          <w:rtl w:val="0"/>
        </w:rPr>
        <w:t xml:space="preserve">: The interface presents these as opposing strategies in a "Therapeutic War" panel, contrasting broad chemical searches with targeted biological mechanisms.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High-Resolution Image Processing versus Macro-Kinetic Growth Prediction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conflict balances high-resolution, single-cell spatial observation with macro-kinetic population modeling.</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Single-Cell Image Processing</w:t>
      </w:r>
      <w:r w:rsidDel="00000000" w:rsidR="00000000" w:rsidRPr="00000000">
        <w:rPr>
          <w:rFonts w:ascii="Google Sans" w:cs="Google Sans" w:eastAsia="Google Sans" w:hAnsi="Google Sans"/>
          <w:color w:val="1f1f1f"/>
          <w:rtl w:val="0"/>
        </w:rPr>
        <w:t xml:space="preserve">: Computer vision plugins like MicrobeJ detect subpixel cell contours, trace medial axes, and track subcellular protein localizations over time.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capturing detailed morphological data, these image-processing pipelines are computationally expensive and difficult to scale to high-throughput industrial applications.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Macro-Kinetic Growth Prediction</w:t>
      </w:r>
      <w:r w:rsidDel="00000000" w:rsidR="00000000" w:rsidRPr="00000000">
        <w:rPr>
          <w:rFonts w:ascii="Google Sans" w:cs="Google Sans" w:eastAsia="Google Sans" w:hAnsi="Google Sans"/>
          <w:color w:val="1f1f1f"/>
          <w:rtl w:val="0"/>
        </w:rPr>
        <w:t xml:space="preserve">: Models like those trained on BacDive or the TMAS system predict population-level growth and physiological thresholds (such as temperature ranges and oxygen tolerance) using genomic and environmental profiles.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systems scale efficiently but ignore single-cell spatial variation and heterogeneity.</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Visual Presentation</w:t>
      </w:r>
      <w:r w:rsidDel="00000000" w:rsidR="00000000" w:rsidRPr="00000000">
        <w:rPr>
          <w:rFonts w:ascii="Google Sans" w:cs="Google Sans" w:eastAsia="Google Sans" w:hAnsi="Google Sans"/>
          <w:color w:val="1f1f1f"/>
          <w:rtl w:val="0"/>
        </w:rPr>
        <w:t xml:space="preserve">: The layout positions these on a "Biophysical Scale" axis, allowing users to contrast single-cell image tracking with macro-scale population kinetic curves.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 Dialectic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Competing Technologies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 Inputs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Velocity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Footprint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Genotypic Inference vs. Spectrochemical Phenotyping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DeepARG &amp; Mykrobe vs. MALDI-TOF &amp; Raman.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Raw genomic FASTQ reads vs. </w:t>
            </w:r>
            <w:r w:rsidDel="00000000" w:rsidR="00000000" w:rsidRPr="00000000">
              <w:rPr>
                <w:rFonts w:ascii="Google Sans" w:cs="Google Sans" w:eastAsia="Google Sans" w:hAnsi="Google Sans"/>
                <w:color w:val="1f1f1f"/>
                <w:shd w:fill="auto" w:val="clear"/>
              </w:rPr>
              <w:drawing>
                <wp:inline distB="19050" distT="19050" distL="19050" distR="19050">
                  <wp:extent cx="218579" cy="212150"/>
                  <wp:effectExtent b="0" l="0" r="0" t="0"/>
                  <wp:docPr id="21"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18579" cy="2121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mass-to-charge (</w:t>
            </w:r>
            <w:r w:rsidDel="00000000" w:rsidR="00000000" w:rsidRPr="00000000">
              <w:rPr>
                <w:rFonts w:ascii="Google Sans" w:cs="Google Sans" w:eastAsia="Google Sans" w:hAnsi="Google Sans"/>
                <w:color w:val="1f1f1f"/>
                <w:shd w:fill="auto" w:val="clear"/>
              </w:rPr>
              <w:drawing>
                <wp:inline distB="19050" distT="19050" distL="19050" distR="19050">
                  <wp:extent cx="326330" cy="217554"/>
                  <wp:effectExtent b="0" l="0" r="0" t="0"/>
                  <wp:docPr id="23"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326330" cy="2175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Raman spectra.</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w:t>
            </w:r>
            <w:r w:rsidDel="00000000" w:rsidR="00000000" w:rsidRPr="00000000">
              <w:rPr>
                <w:rFonts w:ascii="Google Sans" w:cs="Google Sans" w:eastAsia="Google Sans" w:hAnsi="Google Sans"/>
                <w:color w:val="1f1f1f"/>
                <w:shd w:fill="auto" w:val="clear"/>
              </w:rPr>
              <w:drawing>
                <wp:inline distB="19050" distT="19050" distL="19050" distR="19050">
                  <wp:extent cx="1071963" cy="209318"/>
                  <wp:effectExtent b="0" l="0" r="0" t="0"/>
                  <wp:docPr id="2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071963" cy="2093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Ultra-rapid (</w:t>
            </w:r>
            <w:r w:rsidDel="00000000" w:rsidR="00000000" w:rsidRPr="00000000">
              <w:rPr>
                <w:rFonts w:ascii="Google Sans" w:cs="Google Sans" w:eastAsia="Google Sans" w:hAnsi="Google Sans"/>
                <w:color w:val="1f1f1f"/>
                <w:shd w:fill="auto" w:val="clear"/>
              </w:rPr>
              <w:drawing>
                <wp:inline distB="19050" distT="19050" distL="19050" distR="19050">
                  <wp:extent cx="899120" cy="210432"/>
                  <wp:effectExtent b="0" l="0" r="0" t="0"/>
                  <wp:docPr id="2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899120" cy="2104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(specific genetic mutation catalogues mapped)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 vs. Low (requires SHAP explainability overlays).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 (requires sequencing infrastructure or remote APIs)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vs. Small (runs locally via lightweight classifiers).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Broad-Spectrum Screens vs. Narrow-Spectrum Targets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Halicin Virtual Screens vs. Abaucin LolE Profilers.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Compound SMILES strings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&amp; general growth-inhibition datasets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vs. Pathogen-specific </w:t>
            </w:r>
            <w:r w:rsidDel="00000000" w:rsidR="00000000" w:rsidRPr="00000000">
              <w:rPr>
                <w:rFonts w:ascii="Google Sans" w:cs="Google Sans" w:eastAsia="Google Sans" w:hAnsi="Google Sans"/>
                <w:i w:val="1"/>
                <w:iCs w:val="1"/>
                <w:color w:val="1f1f1f"/>
                <w:shd w:fill="auto" w:val="clear"/>
                <w:rtl w:val="0"/>
              </w:rPr>
              <w:t xml:space="preserve">in vitro</w:t>
            </w:r>
            <w:r w:rsidDel="00000000" w:rsidR="00000000" w:rsidRPr="00000000">
              <w:rPr>
                <w:rFonts w:ascii="Google Sans" w:cs="Google Sans" w:eastAsia="Google Sans" w:hAnsi="Google Sans"/>
                <w:color w:val="1f1f1f"/>
                <w:shd w:fill="auto" w:val="clear"/>
                <w:rtl w:val="0"/>
              </w:rPr>
              <w:t xml:space="preserve"> screens.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(millions of compounds screened in days)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vs. Moderate (requires selective biological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(based on physical membrane dissipation)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vs. High (isolates specific protein interactions like LolE).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Intensive (requires large compound libraries like ZINC15) vs. Focused (targets highly curated pathways).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Single-Cell Visuals vs. Macro-Kinetic Models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MicrobeJ &amp; Celldetective vs. BacDive DiASPora Models.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Time-lapse microscopy frames (phase-contrast/fluorescence)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vs. Genomic Pfam annotations &amp; physiological matrices.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(requires subpixel tracking over multiple frames)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vs. Rapid (runs instant vector predictions).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(renders visual cell contours)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vs. Moderate (based on Random Forest vote distributions).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(demands high-resolution image storage and GPU acceleration)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vs. Highly lightweight (easily hosted on a low-end VPS).</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Integration and Ontological Mapping Layer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reliable dynamic platform, the backend must integrate heterogeneous genomic, phenotypic, and chemical databases into a unified relational schema.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UNIFIED MIDDLEWARE API       |</w:t>
        <w:br w:type="textWrapping"/>
        <w:t xml:space="preserve">                  +-----------------------------------+</w:t>
        <w:br w:type="textWrapping"/>
        <w:t xml:space="preserve">                     /         |             |       \</w:t>
        <w:br w:type="textWrapping"/>
        <w:t xml:space="preserve">                    /          |             |        \</w:t>
        <w:br w:type="textWrapping"/>
        <w:t xml:space="preserve">                   v           v             v         v</w:t>
        <w:br w:type="textWrapping"/>
        <w:t xml:space="preserve">                    </w:t>
        <w:br w:type="textWrapping"/>
        <w:t xml:space="preserve">              (Resist.)  (Genomics)    (Phenoty.)    (Inactive Chem.)</w:t>
        <w:br w:type="textWrapping"/>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(Comprehensive Antibiotic Resistance Database)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CARD provides a curated collection of antibiotic resistance determinants organized by the Antibiotic Resistance Ontology (ARO).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Metrics</w:t>
      </w:r>
      <w:r w:rsidDel="00000000" w:rsidR="00000000" w:rsidRPr="00000000">
        <w:rPr>
          <w:rFonts w:ascii="Google Sans" w:cs="Google Sans" w:eastAsia="Google Sans" w:hAnsi="Google Sans"/>
          <w:color w:val="1f1f1f"/>
          <w:rtl w:val="0"/>
        </w:rPr>
        <w:t xml:space="preserve">: The system retrieves curated, peer-reviewed resistance determinants and corresponding AMR gene detection models.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integrates the Resistance Gene Identifier (RGI) to predict path-of-origin resistomes from genomic assemblies.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Scope</w:t>
      </w:r>
      <w:r w:rsidDel="00000000" w:rsidR="00000000" w:rsidRPr="00000000">
        <w:rPr>
          <w:rFonts w:ascii="Google Sans" w:cs="Google Sans" w:eastAsia="Google Sans" w:hAnsi="Google Sans"/>
          <w:color w:val="1f1f1f"/>
          <w:rtl w:val="0"/>
        </w:rPr>
        <w:t xml:space="preserve">: Integration includes computer-generated resistome predictions for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24"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reference pathogens.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also maps the Antibiotic Resistance Platform (ARP), an array of over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2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resistance genes across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drug classes, directly to ARO terms.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BV-BRC (Bacterial and Viral Bioinformatics Resource Center)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BV-BRC offers integrated genome annotations, clinical AST phenotypes, and epidemiological data.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Metrics</w:t>
      </w:r>
      <w:r w:rsidDel="00000000" w:rsidR="00000000" w:rsidRPr="00000000">
        <w:rPr>
          <w:rFonts w:ascii="Google Sans" w:cs="Google Sans" w:eastAsia="Google Sans" w:hAnsi="Google Sans"/>
          <w:color w:val="1f1f1f"/>
          <w:rtl w:val="0"/>
        </w:rPr>
        <w:t xml:space="preserve">: The platform pulls genomic features processed through the RASTtk annotation system, including coding sequences, rRNAs, CRISPR elements, and FIGfams protein families.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Scope</w:t>
      </w:r>
      <w:r w:rsidDel="00000000" w:rsidR="00000000" w:rsidRPr="00000000">
        <w:rPr>
          <w:rFonts w:ascii="Google Sans" w:cs="Google Sans" w:eastAsia="Google Sans" w:hAnsi="Google Sans"/>
          <w:color w:val="1f1f1f"/>
          <w:rtl w:val="0"/>
        </w:rPr>
        <w:t xml:space="preserve">: As of October 2018, BV-BRC holds </w:t>
      </w:r>
      <w:r w:rsidDel="00000000" w:rsidR="00000000" w:rsidRPr="00000000">
        <w:rPr>
          <w:rFonts w:ascii="Google Sans" w:cs="Google Sans" w:eastAsia="Google Sans" w:hAnsi="Google Sans"/>
          <w:color w:val="1f1f1f"/>
        </w:rPr>
        <w:drawing>
          <wp:inline distB="19050" distT="19050" distL="19050" distR="19050">
            <wp:extent cx="576957" cy="234587"/>
            <wp:effectExtent b="0" l="0" r="0" t="0"/>
            <wp:docPr id="29"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76957" cy="23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genomes annotated with antimicrobial resistance (AMR) panel data, details on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28"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reference antibiotics, and </w:t>
      </w:r>
      <w:r w:rsidDel="00000000" w:rsidR="00000000" w:rsidRPr="00000000">
        <w:rPr>
          <w:rFonts w:ascii="Google Sans" w:cs="Google Sans" w:eastAsia="Google Sans" w:hAnsi="Google Sans"/>
          <w:color w:val="1f1f1f"/>
        </w:rPr>
        <w:drawing>
          <wp:inline distB="19050" distT="19050" distL="19050" distR="19050">
            <wp:extent cx="674886" cy="235574"/>
            <wp:effectExtent b="0" l="0" r="0" t="0"/>
            <wp:docPr id="32"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674886" cy="235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phenotypic drug susceptibility testing (AST) records.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Known resistance genes are mapped from ARDB, CARD, NDARO, and internal PATRIC curation.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BacDive (Bacterial Diversity Database)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BacDive is a global core resource for strain-level bacterial and archaeal phenotypic, physiological, and morphological traits.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Metrics</w:t>
      </w:r>
      <w:r w:rsidDel="00000000" w:rsidR="00000000" w:rsidRPr="00000000">
        <w:rPr>
          <w:rFonts w:ascii="Google Sans" w:cs="Google Sans" w:eastAsia="Google Sans" w:hAnsi="Google Sans"/>
          <w:color w:val="1f1f1f"/>
          <w:rtl w:val="0"/>
        </w:rPr>
        <w:t xml:space="preserve">: The application connects to BacDive's SPARQL endpoint and RDF knowledge graph.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imports Analytical Profile Index (API) biochemical test results to populate physiological dashboards.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Scope</w:t>
      </w:r>
      <w:r w:rsidDel="00000000" w:rsidR="00000000" w:rsidRPr="00000000">
        <w:rPr>
          <w:rFonts w:ascii="Google Sans" w:cs="Google Sans" w:eastAsia="Google Sans" w:hAnsi="Google Sans"/>
          <w:color w:val="1f1f1f"/>
          <w:rtl w:val="0"/>
        </w:rPr>
        <w:t xml:space="preserve">: BacDive provides </w:t>
      </w:r>
      <w:r w:rsidDel="00000000" w:rsidR="00000000" w:rsidRPr="00000000">
        <w:rPr>
          <w:rFonts w:ascii="Google Sans" w:cs="Google Sans" w:eastAsia="Google Sans" w:hAnsi="Google Sans"/>
          <w:color w:val="1f1f1f"/>
        </w:rPr>
        <w:drawing>
          <wp:inline distB="19050" distT="19050" distL="19050" distR="19050">
            <wp:extent cx="887313" cy="236191"/>
            <wp:effectExtent b="0" l="0" r="0" t="0"/>
            <wp:docPr id="3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887313" cy="236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points across </w:t>
      </w:r>
      <w:r w:rsidDel="00000000" w:rsidR="00000000" w:rsidRPr="00000000">
        <w:rPr>
          <w:rFonts w:ascii="Google Sans" w:cs="Google Sans" w:eastAsia="Google Sans" w:hAnsi="Google Sans"/>
          <w:color w:val="1f1f1f"/>
        </w:rPr>
        <w:drawing>
          <wp:inline distB="19050" distT="19050" distL="19050" distR="19050">
            <wp:extent cx="576957" cy="234587"/>
            <wp:effectExtent b="0" l="0" r="0" t="0"/>
            <wp:docPr id="3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6957" cy="23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prokaryotic strains.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resolve missing metadata, the platform integrates genome-based predictions from the DiASPora project.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project used Random Forests to predict six phenotypic traits for </w:t>
      </w:r>
      <w:r w:rsidDel="00000000" w:rsidR="00000000" w:rsidRPr="00000000">
        <w:rPr>
          <w:rFonts w:ascii="Google Sans" w:cs="Google Sans" w:eastAsia="Google Sans" w:hAnsi="Google Sans"/>
          <w:color w:val="1f1f1f"/>
        </w:rPr>
        <w:drawing>
          <wp:inline distB="19050" distT="19050" distL="19050" distR="19050">
            <wp:extent cx="576957" cy="234587"/>
            <wp:effectExtent b="0" l="0" r="0" t="0"/>
            <wp:docPr id="33"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6957" cy="23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strains, generating </w:t>
      </w:r>
      <w:r w:rsidDel="00000000" w:rsidR="00000000" w:rsidRPr="00000000">
        <w:rPr>
          <w:rFonts w:ascii="Google Sans" w:cs="Google Sans" w:eastAsia="Google Sans" w:hAnsi="Google Sans"/>
          <w:color w:val="1f1f1f"/>
        </w:rPr>
        <w:drawing>
          <wp:inline distB="19050" distT="19050" distL="19050" distR="19050">
            <wp:extent cx="674886" cy="235574"/>
            <wp:effectExtent b="0" l="0" r="0" t="0"/>
            <wp:docPr id="3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74886" cy="235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points (specifically predicting flagellated motility, Gram stain, oxygen tolerance, spore formation, and thermophilic growth).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also integrates deepG deep learning predictions for spore-formation across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35"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strains.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Predicted traits with a confidence level exceeding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36"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displayed on the frontend alongside experimental data, flagged with an AI icon.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InertDB and PubChem (Chemical Bioactivity Mapping)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InertDB addresses the publication bias toward positive-only drug discovery data by curating biologically inactive small molecules, which are essential for training robust machine learning models.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Metrics</w:t>
      </w:r>
      <w:r w:rsidDel="00000000" w:rsidR="00000000" w:rsidRPr="00000000">
        <w:rPr>
          <w:rFonts w:ascii="Google Sans" w:cs="Google Sans" w:eastAsia="Google Sans" w:hAnsi="Google Sans"/>
          <w:color w:val="1f1f1f"/>
          <w:rtl w:val="0"/>
        </w:rPr>
        <w:t xml:space="preserve">: The middleware imports inactive compound datasets retrieved from over </w:t>
      </w:r>
      <w:r w:rsidDel="00000000" w:rsidR="00000000" w:rsidRPr="00000000">
        <w:rPr>
          <w:rFonts w:ascii="Google Sans" w:cs="Google Sans" w:eastAsia="Google Sans" w:hAnsi="Google Sans"/>
          <w:color w:val="1f1f1f"/>
        </w:rPr>
        <w:drawing>
          <wp:inline distB="19050" distT="19050" distL="19050" distR="19050">
            <wp:extent cx="930772" cy="234276"/>
            <wp:effectExtent b="0" l="0" r="0" t="0"/>
            <wp:docPr id="37"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930772" cy="2342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PubChem assay records.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Inactive assays are filtered by mapping names to </w:t>
      </w:r>
      <w:r w:rsidDel="00000000" w:rsidR="00000000" w:rsidRPr="00000000">
        <w:rPr>
          <w:rFonts w:ascii="Google Sans" w:cs="Google Sans" w:eastAsia="Google Sans" w:hAnsi="Google Sans"/>
          <w:color w:val="1f1f1f"/>
        </w:rPr>
        <w:drawing>
          <wp:inline distB="19050" distT="19050" distL="19050" distR="19050">
            <wp:extent cx="1372591" cy="235120"/>
            <wp:effectExtent b="0" l="0" r="0" t="0"/>
            <wp:docPr id="3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1372591" cy="2351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embeddings using the TinyBioBERT model (a distilled BioBERT language model with four hidden layers of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39"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units each).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Assays are clustered using the HDBSCAN algorithm.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Scope</w:t>
      </w:r>
      <w:r w:rsidDel="00000000" w:rsidR="00000000" w:rsidRPr="00000000">
        <w:rPr>
          <w:rFonts w:ascii="Google Sans" w:cs="Google Sans" w:eastAsia="Google Sans" w:hAnsi="Google Sans"/>
          <w:color w:val="1f1f1f"/>
          <w:rtl w:val="0"/>
        </w:rPr>
        <w:t xml:space="preserve">: As of March 2024, the integration covers records from </w:t>
      </w:r>
      <w:r w:rsidDel="00000000" w:rsidR="00000000" w:rsidRPr="00000000">
        <w:rPr>
          <w:rFonts w:ascii="Google Sans" w:cs="Google Sans" w:eastAsia="Google Sans" w:hAnsi="Google Sans"/>
          <w:color w:val="1f1f1f"/>
        </w:rPr>
        <w:drawing>
          <wp:inline distB="19050" distT="19050" distL="19050" distR="19050">
            <wp:extent cx="860028" cy="235712"/>
            <wp:effectExtent b="0" l="0" r="0" t="0"/>
            <wp:docPr id="4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860028" cy="235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bioassays involving </w:t>
      </w:r>
      <w:r w:rsidDel="00000000" w:rsidR="00000000" w:rsidRPr="00000000">
        <w:rPr>
          <w:rFonts w:ascii="Google Sans" w:cs="Google Sans" w:eastAsia="Google Sans" w:hAnsi="Google Sans"/>
          <w:color w:val="1f1f1f"/>
        </w:rPr>
        <w:drawing>
          <wp:inline distB="19050" distT="19050" distL="19050" distR="19050">
            <wp:extent cx="860028" cy="235712"/>
            <wp:effectExtent b="0" l="0" r="0" t="0"/>
            <wp:docPr id="1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860028" cy="235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chemical compounds, providing a high-quality dataset of negative controls for virtual compound screens.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Comparison of Core Algorithmic Architectures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help developers choose the right models for a resource-constrained VPS, this section compares the mathematical and structural differences between primary bacteriological AI engines.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w:t>
        <w:br w:type="textWrapping"/>
        <w:t xml:space="preserve">                              /                 \</w:t>
        <w:br w:type="textWrapping"/>
        <w:t xml:space="preserve">                             v                   v</w:t>
        <w:br w:type="textWrapping"/>
        <w:t xml:space="preserve">                    (Sequence k-mers)      (Amino Acid Characters)</w:t>
        <w:br w:type="textWrapping"/>
        <w:t xml:space="preserve">                            |                       |</w:t>
        <w:br w:type="textWrapping"/>
        <w:t xml:space="preserve">                            v                       v</w:t>
        <w:br w:type="textWrapping"/>
        <w:t xml:space="preserve">                                  </w:t>
        <w:br w:type="textWrapping"/>
        <w:t xml:space="preserve">                      - Dissimilarity Matrix   - 1D One-Hot Encoding</w:t>
        <w:br w:type="textWrapping"/>
        <w:t xml:space="preserve">                      - Fully Connected DNNs   - Convolutional (CNN)</w:t>
        <w:br w:type="textWrapping"/>
        <w:t xml:space="preserve">                            \                       /</w:t>
        <w:br w:type="textWrapping"/>
        <w:t xml:space="preserve">                             \                     /</w:t>
        <w:br w:type="textWrapping"/>
        <w:t xml:space="preserve">                              v                   v</w:t>
        <w:br w:type="textWrapping"/>
        <w:t xml:space="preserve">                                 </w:t>
        <w:br w:type="textWrapping"/>
        <w:t xml:space="preserve">                                  - Unsupervised Autoencoder Pre-screen</w:t>
        <w:br w:type="textWrapping"/>
        <w:t xml:space="preserve">                                  - CNN Prediction</w:t>
        <w:br w:type="textWrapping"/>
        <w:t xml:space="preserve">                                  - Reduces runtime by 57%</w:t>
        <w:br w:type="textWrapping"/>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Sequence-Based Classification: DeepARG versus HMD-ARG and ARGNet</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DeepARG</w:t>
      </w:r>
      <w:r w:rsidDel="00000000" w:rsidR="00000000" w:rsidRPr="00000000">
        <w:rPr>
          <w:rFonts w:ascii="Google Sans" w:cs="Google Sans" w:eastAsia="Google Sans" w:hAnsi="Google Sans"/>
          <w:color w:val="1f1f1f"/>
          <w:rtl w:val="0"/>
        </w:rPr>
        <w:t xml:space="preserve">: This model processes metagenomic reads or open reading frames by aligning them to CARD and ARDB databases using DIAMOND.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alignment is converted into a dissimilarity representation (where a bit score of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1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high similarity and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1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distant alignment).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vector is passed through four dense fully connected layers and a Softmax output layer to predict the probability of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1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different antibiotic resistance categories.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achieves a precision of </w:t>
      </w:r>
      <w:r w:rsidDel="00000000" w:rsidR="00000000" w:rsidRPr="00000000">
        <w:rPr>
          <w:rFonts w:ascii="Google Sans" w:cs="Google Sans" w:eastAsia="Google Sans" w:hAnsi="Google Sans"/>
          <w:color w:val="1f1f1f"/>
        </w:rPr>
        <w:drawing>
          <wp:inline distB="19050" distT="19050" distL="19050" distR="19050">
            <wp:extent cx="555228" cy="236132"/>
            <wp:effectExtent b="0" l="0" r="0" t="0"/>
            <wp:docPr id="1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55228" cy="236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recall of </w:t>
      </w:r>
      <w:r w:rsidDel="00000000" w:rsidR="00000000" w:rsidRPr="00000000">
        <w:rPr>
          <w:rFonts w:ascii="Google Sans" w:cs="Google Sans" w:eastAsia="Google Sans" w:hAnsi="Google Sans"/>
          <w:color w:val="1f1f1f"/>
        </w:rPr>
        <w:drawing>
          <wp:inline distB="19050" distT="19050" distL="19050" distR="19050">
            <wp:extent cx="555228" cy="236132"/>
            <wp:effectExtent b="0" l="0" r="0" t="0"/>
            <wp:docPr id="1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55228" cy="236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HMD-ARG</w:t>
      </w:r>
      <w:r w:rsidDel="00000000" w:rsidR="00000000" w:rsidRPr="00000000">
        <w:rPr>
          <w:rFonts w:ascii="Google Sans" w:cs="Google Sans" w:eastAsia="Google Sans" w:hAnsi="Google Sans"/>
          <w:color w:val="1f1f1f"/>
          <w:rtl w:val="0"/>
        </w:rPr>
        <w:t xml:space="preserve">: In contrast, HMD-ARG uses an end-to-end convolutional neural network.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maps input sequences to </w:t>
      </w:r>
      <w:r w:rsidDel="00000000" w:rsidR="00000000" w:rsidRPr="00000000">
        <w:rPr>
          <w:rFonts w:ascii="Google Sans" w:cs="Google Sans" w:eastAsia="Google Sans" w:hAnsi="Google Sans"/>
          <w:color w:val="1f1f1f"/>
        </w:rPr>
        <w:drawing>
          <wp:inline distB="19050" distT="19050" distL="19050" distR="19050">
            <wp:extent cx="1056780" cy="235547"/>
            <wp:effectExtent b="0" l="0" r="0" t="0"/>
            <wp:docPr id="1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056780" cy="235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amino acid representations using one-hot encoding.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matrix is passed directly to six convolutional layers and four pooling layers to detect conserved motifs, bypassing the computationally expensive alignment steps of DeepARG.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ARGNet</w:t>
      </w:r>
      <w:r w:rsidDel="00000000" w:rsidR="00000000" w:rsidRPr="00000000">
        <w:rPr>
          <w:rFonts w:ascii="Google Sans" w:cs="Google Sans" w:eastAsia="Google Sans" w:hAnsi="Google Sans"/>
          <w:color w:val="1f1f1f"/>
          <w:rtl w:val="0"/>
        </w:rPr>
        <w:t xml:space="preserve">: ARGNet combines both approaches into a two-stage hybrid framework.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First, an unsupervised autoencoder scans the input genomic sequences to identify potential ARGs.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Second, a supervised CNN predicts the specific resistance category.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pipeline reduces inference runtime by up to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1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DeepARG, making it ideal for low-resource VPS deployments.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Genomic Susceptibility Profiling: Mykrobe Predictor</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Algorithmic Design</w:t>
      </w:r>
      <w:r w:rsidDel="00000000" w:rsidR="00000000" w:rsidRPr="00000000">
        <w:rPr>
          <w:rFonts w:ascii="Google Sans" w:cs="Google Sans" w:eastAsia="Google Sans" w:hAnsi="Google Sans"/>
          <w:color w:val="1f1f1f"/>
          <w:rtl w:val="0"/>
        </w:rPr>
        <w:t xml:space="preserve">: Mykrobe avoids heavy alignment pipelines and neural networks.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Instead, it uses de Bruijn graphs to map raw, unaligned sequencing reads (from Illumina or Oxford Nanopore devices) directly to curated mutation catalogues.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 Metrics</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i w:val="1"/>
          <w:iCs w:val="1"/>
          <w:color w:val="1f1f1f"/>
          <w:rtl w:val="0"/>
        </w:rPr>
        <w:t xml:space="preserve">Mycobacterium tuberculosis</w:t>
      </w:r>
      <w:r w:rsidDel="00000000" w:rsidR="00000000" w:rsidRPr="00000000">
        <w:rPr>
          <w:rFonts w:ascii="Google Sans" w:cs="Google Sans" w:eastAsia="Google Sans" w:hAnsi="Google Sans"/>
          <w:color w:val="1f1f1f"/>
          <w:rtl w:val="0"/>
        </w:rPr>
        <w:t xml:space="preserve"> susceptibility testing, Mykrobe achieves high concordance with culture-based methods, running in under two minutes on standard consumer hardware.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04643"/>
            <wp:effectExtent b="0" l="0" r="0" t="0"/>
            <wp:docPr id="1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05500" cy="60464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04643"/>
            <wp:effectExtent b="0" l="0" r="0" t="0"/>
            <wp:docPr id="20"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05500" cy="60464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and Colony Diagnostics: TMAS versus AMyGDA</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AMyGDA</w:t>
      </w:r>
      <w:r w:rsidDel="00000000" w:rsidR="00000000" w:rsidRPr="00000000">
        <w:rPr>
          <w:rFonts w:ascii="Google Sans" w:cs="Google Sans" w:eastAsia="Google Sans" w:hAnsi="Google Sans"/>
          <w:color w:val="1f1f1f"/>
          <w:rtl w:val="0"/>
        </w:rPr>
        <w:t xml:space="preserve">: The Automated Mycobacterial Growth Detection Algorithm relies on traditional image processing and thresholding techniques.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computationally lightweight, it struggles with low-quality images, shadows, bubbles, and sediment.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TMAS</w:t>
      </w:r>
      <w:r w:rsidDel="00000000" w:rsidR="00000000" w:rsidRPr="00000000">
        <w:rPr>
          <w:rFonts w:ascii="Google Sans" w:cs="Google Sans" w:eastAsia="Google Sans" w:hAnsi="Google Sans"/>
          <w:color w:val="1f1f1f"/>
          <w:rtl w:val="0"/>
        </w:rPr>
        <w:t xml:space="preserve">: The Tuberculosis Microbial Analysis System uses deep learning object detection models trained on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well images from the CRyPTIC dataset.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TMAS filters out physical artifacts (such as condensation and contamination) to determine Minimum Inhibitory Concentrations (MICs) from 96-well microtiter plates.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achieves an essential agreement of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2"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expert clinical readers, significantly outperforming traditional thresholding methods.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Timeline Architecture: Designing the Tree of Life Visualization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render the evolutionary relationships of bacterial strains alongside the chronological development of AI systems, the platform implements a phylogenetic timeline.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TIMELINE VISUALIZATION                   |</w:t>
        <w:br w:type="textWrapping"/>
        <w:t xml:space="preserve">       +-----------------------------------------------------------+</w:t>
        <w:br w:type="textWrapping"/>
        <w:t xml:space="preserve">          /                                                     \</w:t>
        <w:br w:type="textWrapping"/>
        <w:t xml:space="preserve">         /                                                       \</w:t>
        <w:br w:type="textWrapping"/>
        <w:t xml:space="preserve">        v                                                         v</w:t>
        <w:br w:type="textWrapping"/>
        <w:t xml:space="preserve"> [ phylotree.js ]                                          [ Cytoscape.js ]</w:t>
        <w:br w:type="textWrapping"/>
        <w:t xml:space="preserve"> - D3-based SVG Rendering                                  - Canvas-based Layout</w:t>
        <w:br w:type="textWrapping"/>
        <w:t xml:space="preserve"> - Handles thousands of tips                               - Explores multi-dimensional</w:t>
        <w:br w:type="textWrapping"/>
        <w:t xml:space="preserve"> - Clade collapsing &amp; scaling                                tool/database connections</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Visualisation Library Selection</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phylotree.js</w:t>
      </w:r>
      <w:r w:rsidDel="00000000" w:rsidR="00000000" w:rsidRPr="00000000">
        <w:rPr>
          <w:rFonts w:ascii="Google Sans" w:cs="Google Sans" w:eastAsia="Google Sans" w:hAnsi="Google Sans"/>
          <w:color w:val="1f1f1f"/>
          <w:rtl w:val="0"/>
        </w:rPr>
        <w:t xml:space="preserve">: This library is built as an extension of the D3 hierarchy layout.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 generates scalable vector graphics (SVG), handles trees with thousands of tips, and supports radial, linear, and scaled-branch views.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Crucially, it provides native support for Newick strings, clade collapsing, and interactive selection callbacks.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Cytoscape.js</w:t>
      </w:r>
      <w:r w:rsidDel="00000000" w:rsidR="00000000" w:rsidRPr="00000000">
        <w:rPr>
          <w:rFonts w:ascii="Google Sans" w:cs="Google Sans" w:eastAsia="Google Sans" w:hAnsi="Google Sans"/>
          <w:color w:val="1f1f1f"/>
          <w:rtl w:val="0"/>
        </w:rPr>
        <w:t xml:space="preserve">: While excellent for rendering complex networks (such as protein-protein interactions or tool-database relationships), Cytoscape.js uses an HTML5 canvas.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makes it less suited for standard phylogenetic tree layouts, which require direct CSS styling and SVG text alignment.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uses </w:t>
      </w:r>
      <w:r w:rsidDel="00000000" w:rsidR="00000000" w:rsidRPr="00000000">
        <w:rPr>
          <w:rFonts w:ascii="Google Sans" w:cs="Google Sans" w:eastAsia="Google Sans" w:hAnsi="Google Sans"/>
          <w:b w:val="1"/>
          <w:bCs w:val="1"/>
          <w:color w:val="1f1f1f"/>
          <w:rtl w:val="0"/>
        </w:rPr>
        <w:t xml:space="preserve">phylotree.js</w:t>
      </w:r>
      <w:r w:rsidDel="00000000" w:rsidR="00000000" w:rsidRPr="00000000">
        <w:rPr>
          <w:rFonts w:ascii="Google Sans" w:cs="Google Sans" w:eastAsia="Google Sans" w:hAnsi="Google Sans"/>
          <w:color w:val="1f1f1f"/>
          <w:rtl w:val="0"/>
        </w:rPr>
        <w:t xml:space="preserve"> for the taxonomic timeline and </w:t>
      </w:r>
      <w:r w:rsidDel="00000000" w:rsidR="00000000" w:rsidRPr="00000000">
        <w:rPr>
          <w:rFonts w:ascii="Google Sans" w:cs="Google Sans" w:eastAsia="Google Sans" w:hAnsi="Google Sans"/>
          <w:b w:val="1"/>
          <w:bCs w:val="1"/>
          <w:color w:val="1f1f1f"/>
          <w:rtl w:val="0"/>
        </w:rPr>
        <w:t xml:space="preserve">Cytoscape.js</w:t>
      </w:r>
      <w:r w:rsidDel="00000000" w:rsidR="00000000" w:rsidRPr="00000000">
        <w:rPr>
          <w:rFonts w:ascii="Google Sans" w:cs="Google Sans" w:eastAsia="Google Sans" w:hAnsi="Google Sans"/>
          <w:color w:val="1f1f1f"/>
          <w:rtl w:val="0"/>
        </w:rPr>
        <w:t xml:space="preserve"> for rendering tool-database relationships and chemical similarity networks.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VPS Deployment and Frontend Integration Code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the application responsive on a low-resource VPS, database queries are cached on the server, and tree parsing is handled client-side using JavaScript. The following code parses an annotated Newick string, renders an interactive radial timeline, and updates a details panel when a node is selected: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HTML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5a59"/>
          <w:sz w:val="20"/>
          <w:szCs w:val="20"/>
          <w:shd w:fill="141414" w:val="clear"/>
          <w:rtl w:val="0"/>
        </w:rPr>
        <w:t xml:space="preserve">&lt;!DOCTYPE </w:t>
      </w:r>
      <w:r w:rsidDel="00000000" w:rsidR="00000000" w:rsidRPr="00000000">
        <w:rPr>
          <w:rFonts w:ascii="Google Sans" w:cs="Google Sans" w:eastAsia="Google Sans" w:hAnsi="Google Sans"/>
          <w:b w:val="1"/>
          <w:bCs w:val="1"/>
          <w:i w:val="0"/>
          <w:iCs w:val="0"/>
          <w:color w:val="ff5a59"/>
          <w:sz w:val="20"/>
          <w:szCs w:val="20"/>
          <w:shd w:fill="141414" w:val="clear"/>
          <w:rtl w:val="0"/>
        </w:rPr>
        <w:t xml:space="preserve">html</w:t>
      </w:r>
      <w:r w:rsidDel="00000000" w:rsidR="00000000" w:rsidRPr="00000000">
        <w:rPr>
          <w:rFonts w:ascii="Google Sans" w:cs="Google Sans" w:eastAsia="Google Sans" w:hAnsi="Google Sans"/>
          <w:i w:val="0"/>
          <w:iCs w:val="0"/>
          <w:color w:val="ff5a59"/>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html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lang</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meta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charset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title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AI in Bacteriology: Interactive Timeline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title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link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"stylesheet"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href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"https://cdnjs.cloudflare.com/ajax/libs/d3/5.16.0/d3.min.css"</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style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 { font-family: </w:t>
      </w:r>
      <w:r w:rsidDel="00000000" w:rsidR="00000000" w:rsidRPr="00000000">
        <w:rPr>
          <w:rFonts w:ascii="Google Sans" w:cs="Google Sans" w:eastAsia="Google Sans" w:hAnsi="Google Sans"/>
          <w:i w:val="0"/>
          <w:iCs w:val="0"/>
          <w:color w:val="60d673"/>
          <w:sz w:val="20"/>
          <w:szCs w:val="20"/>
          <w:shd w:fill="141414" w:val="clear"/>
          <w:rtl w:val="0"/>
        </w:rPr>
        <w:t xml:space="preserve">'Helvetica Neue'</w:t>
      </w:r>
      <w:r w:rsidDel="00000000" w:rsidR="00000000" w:rsidRPr="00000000">
        <w:rPr>
          <w:rFonts w:ascii="Google Sans" w:cs="Google Sans" w:eastAsia="Google Sans" w:hAnsi="Google Sans"/>
          <w:i w:val="0"/>
          <w:iCs w:val="0"/>
          <w:color w:val="ffffff"/>
          <w:sz w:val="20"/>
          <w:szCs w:val="20"/>
          <w:shd w:fill="141414" w:val="clear"/>
          <w:rtl w:val="0"/>
        </w:rPr>
        <w:t xml:space="preserve">, Arial, sans-serif; background-color: </w:t>
      </w:r>
      <w:r w:rsidDel="00000000" w:rsidR="00000000" w:rsidRPr="00000000">
        <w:rPr>
          <w:rFonts w:ascii="Google Sans" w:cs="Google Sans" w:eastAsia="Google Sans" w:hAnsi="Google Sans"/>
          <w:i w:val="0"/>
          <w:iCs w:val="0"/>
          <w:color w:val="ff96da"/>
          <w:sz w:val="20"/>
          <w:szCs w:val="20"/>
          <w:shd w:fill="141414" w:val="clear"/>
          <w:rtl w:val="0"/>
        </w:rPr>
        <w:t xml:space="preserve">#f8f9fa</w:t>
      </w:r>
      <w:r w:rsidDel="00000000" w:rsidR="00000000" w:rsidRPr="00000000">
        <w:rPr>
          <w:rFonts w:ascii="Google Sans" w:cs="Google Sans" w:eastAsia="Google Sans" w:hAnsi="Google Sans"/>
          <w:i w:val="0"/>
          <w:iCs w:val="0"/>
          <w:color w:val="ffffff"/>
          <w:sz w:val="20"/>
          <w:szCs w:val="20"/>
          <w:shd w:fill="141414" w:val="clear"/>
          <w:rtl w:val="0"/>
        </w:rPr>
        <w:t xml:space="preserve">; margin: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padding: </w:t>
      </w:r>
      <w:r w:rsidDel="00000000" w:rsidR="00000000" w:rsidRPr="00000000">
        <w:rPr>
          <w:rFonts w:ascii="Google Sans" w:cs="Google Sans" w:eastAsia="Google Sans" w:hAnsi="Google Sans"/>
          <w:i w:val="0"/>
          <w:iCs w:val="0"/>
          <w:color w:val="ff96da"/>
          <w:sz w:val="20"/>
          <w:szCs w:val="20"/>
          <w:shd w:fill="141414" w:val="clear"/>
          <w:rtl w:val="0"/>
        </w:rPr>
        <w:t xml:space="preserve">20px</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.container</w:t>
      </w:r>
      <w:r w:rsidDel="00000000" w:rsidR="00000000" w:rsidRPr="00000000">
        <w:rPr>
          <w:rFonts w:ascii="Google Sans" w:cs="Google Sans" w:eastAsia="Google Sans" w:hAnsi="Google Sans"/>
          <w:i w:val="0"/>
          <w:iCs w:val="0"/>
          <w:color w:val="ffffff"/>
          <w:sz w:val="20"/>
          <w:szCs w:val="20"/>
          <w:shd w:fill="141414" w:val="clear"/>
          <w:rtl w:val="0"/>
        </w:rPr>
        <w:t xml:space="preserve"> { display: flex; gap: </w:t>
      </w:r>
      <w:r w:rsidDel="00000000" w:rsidR="00000000" w:rsidRPr="00000000">
        <w:rPr>
          <w:rFonts w:ascii="Google Sans" w:cs="Google Sans" w:eastAsia="Google Sans" w:hAnsi="Google Sans"/>
          <w:i w:val="0"/>
          <w:iCs w:val="0"/>
          <w:color w:val="ff96da"/>
          <w:sz w:val="20"/>
          <w:szCs w:val="20"/>
          <w:shd w:fill="141414" w:val="clear"/>
          <w:rtl w:val="0"/>
        </w:rPr>
        <w:t xml:space="preserve">20px</w:t>
      </w:r>
      <w:r w:rsidDel="00000000" w:rsidR="00000000" w:rsidRPr="00000000">
        <w:rPr>
          <w:rFonts w:ascii="Google Sans" w:cs="Google Sans" w:eastAsia="Google Sans" w:hAnsi="Google Sans"/>
          <w:i w:val="0"/>
          <w:iCs w:val="0"/>
          <w:color w:val="ffffff"/>
          <w:sz w:val="20"/>
          <w:szCs w:val="20"/>
          <w:shd w:fill="141414" w:val="clear"/>
          <w:rtl w:val="0"/>
        </w:rPr>
        <w:t xml:space="preserve">; max-width: </w:t>
      </w:r>
      <w:r w:rsidDel="00000000" w:rsidR="00000000" w:rsidRPr="00000000">
        <w:rPr>
          <w:rFonts w:ascii="Google Sans" w:cs="Google Sans" w:eastAsia="Google Sans" w:hAnsi="Google Sans"/>
          <w:i w:val="0"/>
          <w:iCs w:val="0"/>
          <w:color w:val="ff96da"/>
          <w:sz w:val="20"/>
          <w:szCs w:val="20"/>
          <w:shd w:fill="141414" w:val="clear"/>
          <w:rtl w:val="0"/>
        </w:rPr>
        <w:t xml:space="preserve">1400px</w:t>
      </w:r>
      <w:r w:rsidDel="00000000" w:rsidR="00000000" w:rsidRPr="00000000">
        <w:rPr>
          <w:rFonts w:ascii="Google Sans" w:cs="Google Sans" w:eastAsia="Google Sans" w:hAnsi="Google Sans"/>
          <w:i w:val="0"/>
          <w:iCs w:val="0"/>
          <w:color w:val="ffffff"/>
          <w:sz w:val="20"/>
          <w:szCs w:val="20"/>
          <w:shd w:fill="141414" w:val="clear"/>
          <w:rtl w:val="0"/>
        </w:rPr>
        <w:t xml:space="preserve">; margin: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auto;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#tree-container</w:t>
      </w:r>
      <w:r w:rsidDel="00000000" w:rsidR="00000000" w:rsidRPr="00000000">
        <w:rPr>
          <w:rFonts w:ascii="Google Sans" w:cs="Google Sans" w:eastAsia="Google Sans" w:hAnsi="Google Sans"/>
          <w:i w:val="0"/>
          <w:iCs w:val="0"/>
          <w:color w:val="ffffff"/>
          <w:sz w:val="20"/>
          <w:szCs w:val="20"/>
          <w:shd w:fill="141414" w:val="clear"/>
          <w:rtl w:val="0"/>
        </w:rPr>
        <w:t xml:space="preserve"> { flex: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i w:val="0"/>
          <w:iCs w:val="0"/>
          <w:color w:val="ffffff"/>
          <w:sz w:val="20"/>
          <w:szCs w:val="20"/>
          <w:shd w:fill="141414" w:val="clear"/>
          <w:rtl w:val="0"/>
        </w:rPr>
        <w:t xml:space="preserve">; background-color: </w:t>
      </w:r>
      <w:r w:rsidDel="00000000" w:rsidR="00000000" w:rsidRPr="00000000">
        <w:rPr>
          <w:rFonts w:ascii="Google Sans" w:cs="Google Sans" w:eastAsia="Google Sans" w:hAnsi="Google Sans"/>
          <w:i w:val="0"/>
          <w:iCs w:val="0"/>
          <w:color w:val="ff96da"/>
          <w:sz w:val="20"/>
          <w:szCs w:val="20"/>
          <w:shd w:fill="141414" w:val="clear"/>
          <w:rtl w:val="0"/>
        </w:rPr>
        <w:t xml:space="preserve">#ffffff</w:t>
      </w:r>
      <w:r w:rsidDel="00000000" w:rsidR="00000000" w:rsidRPr="00000000">
        <w:rPr>
          <w:rFonts w:ascii="Google Sans" w:cs="Google Sans" w:eastAsia="Google Sans" w:hAnsi="Google Sans"/>
          <w:i w:val="0"/>
          <w:iCs w:val="0"/>
          <w:color w:val="ffffff"/>
          <w:sz w:val="20"/>
          <w:szCs w:val="20"/>
          <w:shd w:fill="141414" w:val="clear"/>
          <w:rtl w:val="0"/>
        </w:rPr>
        <w:t xml:space="preserve">; border: </w:t>
      </w:r>
      <w:r w:rsidDel="00000000" w:rsidR="00000000" w:rsidRPr="00000000">
        <w:rPr>
          <w:rFonts w:ascii="Google Sans" w:cs="Google Sans" w:eastAsia="Google Sans" w:hAnsi="Google Sans"/>
          <w:i w:val="0"/>
          <w:iCs w:val="0"/>
          <w:color w:val="ff96da"/>
          <w:sz w:val="20"/>
          <w:szCs w:val="20"/>
          <w:shd w:fill="141414" w:val="clear"/>
          <w:rtl w:val="0"/>
        </w:rPr>
        <w:t xml:space="preserve">1px</w:t>
      </w:r>
      <w:r w:rsidDel="00000000" w:rsidR="00000000" w:rsidRPr="00000000">
        <w:rPr>
          <w:rFonts w:ascii="Google Sans" w:cs="Google Sans" w:eastAsia="Google Sans" w:hAnsi="Google Sans"/>
          <w:i w:val="0"/>
          <w:iCs w:val="0"/>
          <w:color w:val="ffffff"/>
          <w:sz w:val="20"/>
          <w:szCs w:val="20"/>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#dee2e6</w:t>
      </w:r>
      <w:r w:rsidDel="00000000" w:rsidR="00000000" w:rsidRPr="00000000">
        <w:rPr>
          <w:rFonts w:ascii="Google Sans" w:cs="Google Sans" w:eastAsia="Google Sans" w:hAnsi="Google Sans"/>
          <w:i w:val="0"/>
          <w:iCs w:val="0"/>
          <w:color w:val="ffffff"/>
          <w:sz w:val="20"/>
          <w:szCs w:val="20"/>
          <w:shd w:fill="141414" w:val="clear"/>
          <w:rtl w:val="0"/>
        </w:rPr>
        <w:t xml:space="preserve">; border-radius: </w:t>
      </w:r>
      <w:r w:rsidDel="00000000" w:rsidR="00000000" w:rsidRPr="00000000">
        <w:rPr>
          <w:rFonts w:ascii="Google Sans" w:cs="Google Sans" w:eastAsia="Google Sans" w:hAnsi="Google Sans"/>
          <w:i w:val="0"/>
          <w:iCs w:val="0"/>
          <w:color w:val="ff96da"/>
          <w:sz w:val="20"/>
          <w:szCs w:val="20"/>
          <w:shd w:fill="141414" w:val="clear"/>
          <w:rtl w:val="0"/>
        </w:rPr>
        <w:t xml:space="preserve">8px</w:t>
      </w:r>
      <w:r w:rsidDel="00000000" w:rsidR="00000000" w:rsidRPr="00000000">
        <w:rPr>
          <w:rFonts w:ascii="Google Sans" w:cs="Google Sans" w:eastAsia="Google Sans" w:hAnsi="Google Sans"/>
          <w:i w:val="0"/>
          <w:iCs w:val="0"/>
          <w:color w:val="ffffff"/>
          <w:sz w:val="20"/>
          <w:szCs w:val="20"/>
          <w:shd w:fill="141414" w:val="clear"/>
          <w:rtl w:val="0"/>
        </w:rPr>
        <w:t xml:space="preserve">; padding: </w:t>
      </w:r>
      <w:r w:rsidDel="00000000" w:rsidR="00000000" w:rsidRPr="00000000">
        <w:rPr>
          <w:rFonts w:ascii="Google Sans" w:cs="Google Sans" w:eastAsia="Google Sans" w:hAnsi="Google Sans"/>
          <w:i w:val="0"/>
          <w:iCs w:val="0"/>
          <w:color w:val="ff96da"/>
          <w:sz w:val="20"/>
          <w:szCs w:val="20"/>
          <w:shd w:fill="141414" w:val="clear"/>
          <w:rtl w:val="0"/>
        </w:rPr>
        <w:t xml:space="preserve">15px</w:t>
      </w:r>
      <w:r w:rsidDel="00000000" w:rsidR="00000000" w:rsidRPr="00000000">
        <w:rPr>
          <w:rFonts w:ascii="Google Sans" w:cs="Google Sans" w:eastAsia="Google Sans" w:hAnsi="Google Sans"/>
          <w:i w:val="0"/>
          <w:iCs w:val="0"/>
          <w:color w:val="ffffff"/>
          <w:sz w:val="20"/>
          <w:szCs w:val="20"/>
          <w:shd w:fill="141414" w:val="clear"/>
          <w:rtl w:val="0"/>
        </w:rPr>
        <w:t xml:space="preserve">; box-shadow: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4px</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6px</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rgba</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#details-panel</w:t>
      </w:r>
      <w:r w:rsidDel="00000000" w:rsidR="00000000" w:rsidRPr="00000000">
        <w:rPr>
          <w:rFonts w:ascii="Google Sans" w:cs="Google Sans" w:eastAsia="Google Sans" w:hAnsi="Google Sans"/>
          <w:i w:val="0"/>
          <w:iCs w:val="0"/>
          <w:color w:val="ffffff"/>
          <w:sz w:val="20"/>
          <w:szCs w:val="20"/>
          <w:shd w:fill="141414" w:val="clear"/>
          <w:rtl w:val="0"/>
        </w:rPr>
        <w:t xml:space="preserve"> { flex: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ffffff"/>
          <w:sz w:val="20"/>
          <w:szCs w:val="20"/>
          <w:shd w:fill="141414" w:val="clear"/>
          <w:rtl w:val="0"/>
        </w:rPr>
        <w:t xml:space="preserve">; background-color: </w:t>
      </w:r>
      <w:r w:rsidDel="00000000" w:rsidR="00000000" w:rsidRPr="00000000">
        <w:rPr>
          <w:rFonts w:ascii="Google Sans" w:cs="Google Sans" w:eastAsia="Google Sans" w:hAnsi="Google Sans"/>
          <w:i w:val="0"/>
          <w:iCs w:val="0"/>
          <w:color w:val="ff96da"/>
          <w:sz w:val="20"/>
          <w:szCs w:val="20"/>
          <w:shd w:fill="141414" w:val="clear"/>
          <w:rtl w:val="0"/>
        </w:rPr>
        <w:t xml:space="preserve">#ffffff</w:t>
      </w:r>
      <w:r w:rsidDel="00000000" w:rsidR="00000000" w:rsidRPr="00000000">
        <w:rPr>
          <w:rFonts w:ascii="Google Sans" w:cs="Google Sans" w:eastAsia="Google Sans" w:hAnsi="Google Sans"/>
          <w:i w:val="0"/>
          <w:iCs w:val="0"/>
          <w:color w:val="ffffff"/>
          <w:sz w:val="20"/>
          <w:szCs w:val="20"/>
          <w:shd w:fill="141414" w:val="clear"/>
          <w:rtl w:val="0"/>
        </w:rPr>
        <w:t xml:space="preserve">; border: </w:t>
      </w:r>
      <w:r w:rsidDel="00000000" w:rsidR="00000000" w:rsidRPr="00000000">
        <w:rPr>
          <w:rFonts w:ascii="Google Sans" w:cs="Google Sans" w:eastAsia="Google Sans" w:hAnsi="Google Sans"/>
          <w:i w:val="0"/>
          <w:iCs w:val="0"/>
          <w:color w:val="ff96da"/>
          <w:sz w:val="20"/>
          <w:szCs w:val="20"/>
          <w:shd w:fill="141414" w:val="clear"/>
          <w:rtl w:val="0"/>
        </w:rPr>
        <w:t xml:space="preserve">1px</w:t>
      </w:r>
      <w:r w:rsidDel="00000000" w:rsidR="00000000" w:rsidRPr="00000000">
        <w:rPr>
          <w:rFonts w:ascii="Google Sans" w:cs="Google Sans" w:eastAsia="Google Sans" w:hAnsi="Google Sans"/>
          <w:i w:val="0"/>
          <w:iCs w:val="0"/>
          <w:color w:val="ffffff"/>
          <w:sz w:val="20"/>
          <w:szCs w:val="20"/>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#dee2e6</w:t>
      </w:r>
      <w:r w:rsidDel="00000000" w:rsidR="00000000" w:rsidRPr="00000000">
        <w:rPr>
          <w:rFonts w:ascii="Google Sans" w:cs="Google Sans" w:eastAsia="Google Sans" w:hAnsi="Google Sans"/>
          <w:i w:val="0"/>
          <w:iCs w:val="0"/>
          <w:color w:val="ffffff"/>
          <w:sz w:val="20"/>
          <w:szCs w:val="20"/>
          <w:shd w:fill="141414" w:val="clear"/>
          <w:rtl w:val="0"/>
        </w:rPr>
        <w:t xml:space="preserve">; border-radius: </w:t>
      </w:r>
      <w:r w:rsidDel="00000000" w:rsidR="00000000" w:rsidRPr="00000000">
        <w:rPr>
          <w:rFonts w:ascii="Google Sans" w:cs="Google Sans" w:eastAsia="Google Sans" w:hAnsi="Google Sans"/>
          <w:i w:val="0"/>
          <w:iCs w:val="0"/>
          <w:color w:val="ff96da"/>
          <w:sz w:val="20"/>
          <w:szCs w:val="20"/>
          <w:shd w:fill="141414" w:val="clear"/>
          <w:rtl w:val="0"/>
        </w:rPr>
        <w:t xml:space="preserve">8px</w:t>
      </w:r>
      <w:r w:rsidDel="00000000" w:rsidR="00000000" w:rsidRPr="00000000">
        <w:rPr>
          <w:rFonts w:ascii="Google Sans" w:cs="Google Sans" w:eastAsia="Google Sans" w:hAnsi="Google Sans"/>
          <w:i w:val="0"/>
          <w:iCs w:val="0"/>
          <w:color w:val="ffffff"/>
          <w:sz w:val="20"/>
          <w:szCs w:val="20"/>
          <w:shd w:fill="141414" w:val="clear"/>
          <w:rtl w:val="0"/>
        </w:rPr>
        <w:t xml:space="preserve">; padding: </w:t>
      </w:r>
      <w:r w:rsidDel="00000000" w:rsidR="00000000" w:rsidRPr="00000000">
        <w:rPr>
          <w:rFonts w:ascii="Google Sans" w:cs="Google Sans" w:eastAsia="Google Sans" w:hAnsi="Google Sans"/>
          <w:i w:val="0"/>
          <w:iCs w:val="0"/>
          <w:color w:val="ff96da"/>
          <w:sz w:val="20"/>
          <w:szCs w:val="20"/>
          <w:shd w:fill="141414" w:val="clear"/>
          <w:rtl w:val="0"/>
        </w:rPr>
        <w:t xml:space="preserve">20px</w:t>
      </w:r>
      <w:r w:rsidDel="00000000" w:rsidR="00000000" w:rsidRPr="00000000">
        <w:rPr>
          <w:rFonts w:ascii="Google Sans" w:cs="Google Sans" w:eastAsia="Google Sans" w:hAnsi="Google Sans"/>
          <w:i w:val="0"/>
          <w:iCs w:val="0"/>
          <w:color w:val="ffffff"/>
          <w:sz w:val="20"/>
          <w:szCs w:val="20"/>
          <w:shd w:fill="141414" w:val="clear"/>
          <w:rtl w:val="0"/>
        </w:rPr>
        <w:t xml:space="preserve">; box-shadow: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4px</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6px</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rgba</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.node-label</w:t>
      </w:r>
      <w:r w:rsidDel="00000000" w:rsidR="00000000" w:rsidRPr="00000000">
        <w:rPr>
          <w:rFonts w:ascii="Google Sans" w:cs="Google Sans" w:eastAsia="Google Sans" w:hAnsi="Google Sans"/>
          <w:i w:val="0"/>
          <w:iCs w:val="0"/>
          <w:color w:val="ffffff"/>
          <w:sz w:val="20"/>
          <w:szCs w:val="20"/>
          <w:shd w:fill="141414" w:val="clear"/>
          <w:rtl w:val="0"/>
        </w:rPr>
        <w:t xml:space="preserve"> { font-size: </w:t>
      </w:r>
      <w:r w:rsidDel="00000000" w:rsidR="00000000" w:rsidRPr="00000000">
        <w:rPr>
          <w:rFonts w:ascii="Google Sans" w:cs="Google Sans" w:eastAsia="Google Sans" w:hAnsi="Google Sans"/>
          <w:i w:val="0"/>
          <w:iCs w:val="0"/>
          <w:color w:val="ff96da"/>
          <w:sz w:val="20"/>
          <w:szCs w:val="20"/>
          <w:shd w:fill="141414" w:val="clear"/>
          <w:rtl w:val="0"/>
        </w:rPr>
        <w:t xml:space="preserve">11px</w:t>
      </w:r>
      <w:r w:rsidDel="00000000" w:rsidR="00000000" w:rsidRPr="00000000">
        <w:rPr>
          <w:rFonts w:ascii="Google Sans" w:cs="Google Sans" w:eastAsia="Google Sans" w:hAnsi="Google Sans"/>
          <w:i w:val="0"/>
          <w:iCs w:val="0"/>
          <w:color w:val="ffffff"/>
          <w:sz w:val="20"/>
          <w:szCs w:val="20"/>
          <w:shd w:fill="141414" w:val="clear"/>
          <w:rtl w:val="0"/>
        </w:rPr>
        <w:t xml:space="preserve">; fill: </w:t>
      </w:r>
      <w:r w:rsidDel="00000000" w:rsidR="00000000" w:rsidRPr="00000000">
        <w:rPr>
          <w:rFonts w:ascii="Google Sans" w:cs="Google Sans" w:eastAsia="Google Sans" w:hAnsi="Google Sans"/>
          <w:i w:val="0"/>
          <w:iCs w:val="0"/>
          <w:color w:val="ff96da"/>
          <w:sz w:val="20"/>
          <w:szCs w:val="20"/>
          <w:shd w:fill="141414" w:val="clear"/>
          <w:rtl w:val="0"/>
        </w:rPr>
        <w:t xml:space="preserve">#212529</w:t>
      </w:r>
      <w:r w:rsidDel="00000000" w:rsidR="00000000" w:rsidRPr="00000000">
        <w:rPr>
          <w:rFonts w:ascii="Google Sans" w:cs="Google Sans" w:eastAsia="Google Sans" w:hAnsi="Google Sans"/>
          <w:i w:val="0"/>
          <w:iCs w:val="0"/>
          <w:color w:val="ffffff"/>
          <w:sz w:val="20"/>
          <w:szCs w:val="20"/>
          <w:shd w:fill="141414" w:val="clear"/>
          <w:rtl w:val="0"/>
        </w:rPr>
        <w:t xml:space="preserve">; font-weight: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.branch-line</w:t>
      </w:r>
      <w:r w:rsidDel="00000000" w:rsidR="00000000" w:rsidRPr="00000000">
        <w:rPr>
          <w:rFonts w:ascii="Google Sans" w:cs="Google Sans" w:eastAsia="Google Sans" w:hAnsi="Google Sans"/>
          <w:i w:val="0"/>
          <w:iCs w:val="0"/>
          <w:color w:val="ffffff"/>
          <w:sz w:val="20"/>
          <w:szCs w:val="20"/>
          <w:shd w:fill="141414" w:val="clear"/>
          <w:rtl w:val="0"/>
        </w:rPr>
        <w:t xml:space="preserve"> { fill: none; stroke: </w:t>
      </w:r>
      <w:r w:rsidDel="00000000" w:rsidR="00000000" w:rsidRPr="00000000">
        <w:rPr>
          <w:rFonts w:ascii="Google Sans" w:cs="Google Sans" w:eastAsia="Google Sans" w:hAnsi="Google Sans"/>
          <w:i w:val="0"/>
          <w:iCs w:val="0"/>
          <w:color w:val="ff96da"/>
          <w:sz w:val="20"/>
          <w:szCs w:val="20"/>
          <w:shd w:fill="141414" w:val="clear"/>
          <w:rtl w:val="0"/>
        </w:rPr>
        <w:t xml:space="preserve">#6c757d</w:t>
      </w:r>
      <w:r w:rsidDel="00000000" w:rsidR="00000000" w:rsidRPr="00000000">
        <w:rPr>
          <w:rFonts w:ascii="Google Sans" w:cs="Google Sans" w:eastAsia="Google Sans" w:hAnsi="Google Sans"/>
          <w:i w:val="0"/>
          <w:iCs w:val="0"/>
          <w:color w:val="ffffff"/>
          <w:sz w:val="20"/>
          <w:szCs w:val="20"/>
          <w:shd w:fill="141414" w:val="clear"/>
          <w:rtl w:val="0"/>
        </w:rPr>
        <w:t xml:space="preserve">; stroke-width: </w:t>
      </w:r>
      <w:r w:rsidDel="00000000" w:rsidR="00000000" w:rsidRPr="00000000">
        <w:rPr>
          <w:rFonts w:ascii="Google Sans" w:cs="Google Sans" w:eastAsia="Google Sans" w:hAnsi="Google Sans"/>
          <w:i w:val="0"/>
          <w:iCs w:val="0"/>
          <w:color w:val="ff96da"/>
          <w:sz w:val="20"/>
          <w:szCs w:val="20"/>
          <w:shd w:fill="141414" w:val="clear"/>
          <w:rtl w:val="0"/>
        </w:rPr>
        <w:t xml:space="preserve">1.5px</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.node-highlight</w:t>
      </w:r>
      <w:r w:rsidDel="00000000" w:rsidR="00000000" w:rsidRPr="00000000">
        <w:rPr>
          <w:rFonts w:ascii="Google Sans" w:cs="Google Sans" w:eastAsia="Google Sans" w:hAnsi="Google Sans"/>
          <w:i w:val="0"/>
          <w:iCs w:val="0"/>
          <w:color w:val="ffffff"/>
          <w:sz w:val="20"/>
          <w:szCs w:val="20"/>
          <w:shd w:fill="141414" w:val="clear"/>
          <w:rtl w:val="0"/>
        </w:rPr>
        <w:t xml:space="preserve"> { fill: </w:t>
      </w:r>
      <w:r w:rsidDel="00000000" w:rsidR="00000000" w:rsidRPr="00000000">
        <w:rPr>
          <w:rFonts w:ascii="Google Sans" w:cs="Google Sans" w:eastAsia="Google Sans" w:hAnsi="Google Sans"/>
          <w:i w:val="0"/>
          <w:iCs w:val="0"/>
          <w:color w:val="ff96da"/>
          <w:sz w:val="20"/>
          <w:szCs w:val="20"/>
          <w:shd w:fill="141414" w:val="clear"/>
          <w:rtl w:val="0"/>
        </w:rPr>
        <w:t xml:space="preserve">#dc3545</w:t>
      </w:r>
      <w:r w:rsidDel="00000000" w:rsidR="00000000" w:rsidRPr="00000000">
        <w:rPr>
          <w:rFonts w:ascii="Google Sans" w:cs="Google Sans" w:eastAsia="Google Sans" w:hAnsi="Google Sans"/>
          <w:i w:val="0"/>
          <w:iCs w:val="0"/>
          <w:color w:val="ff5a59"/>
          <w:sz w:val="20"/>
          <w:szCs w:val="20"/>
          <w:shd w:fill="141414" w:val="clear"/>
          <w:rtl w:val="0"/>
        </w:rPr>
        <w:t xml:space="preserve">!important</w:t>
      </w:r>
      <w:r w:rsidDel="00000000" w:rsidR="00000000" w:rsidRPr="00000000">
        <w:rPr>
          <w:rFonts w:ascii="Google Sans" w:cs="Google Sans" w:eastAsia="Google Sans" w:hAnsi="Google Sans"/>
          <w:i w:val="0"/>
          <w:iCs w:val="0"/>
          <w:color w:val="ffffff"/>
          <w:sz w:val="20"/>
          <w:szCs w:val="20"/>
          <w:shd w:fill="141414" w:val="clear"/>
          <w:rtl w:val="0"/>
        </w:rPr>
        <w:t xml:space="preserve">; stroke: </w:t>
      </w:r>
      <w:r w:rsidDel="00000000" w:rsidR="00000000" w:rsidRPr="00000000">
        <w:rPr>
          <w:rFonts w:ascii="Google Sans" w:cs="Google Sans" w:eastAsia="Google Sans" w:hAnsi="Google Sans"/>
          <w:i w:val="0"/>
          <w:iCs w:val="0"/>
          <w:color w:val="ff96da"/>
          <w:sz w:val="20"/>
          <w:szCs w:val="20"/>
          <w:shd w:fill="141414" w:val="clear"/>
          <w:rtl w:val="0"/>
        </w:rPr>
        <w:t xml:space="preserve">#ffffff</w:t>
      </w:r>
      <w:r w:rsidDel="00000000" w:rsidR="00000000" w:rsidRPr="00000000">
        <w:rPr>
          <w:rFonts w:ascii="Google Sans" w:cs="Google Sans" w:eastAsia="Google Sans" w:hAnsi="Google Sans"/>
          <w:i w:val="0"/>
          <w:iCs w:val="0"/>
          <w:color w:val="ff5a59"/>
          <w:sz w:val="20"/>
          <w:szCs w:val="20"/>
          <w:shd w:fill="141414" w:val="clear"/>
          <w:rtl w:val="0"/>
        </w:rPr>
        <w:t xml:space="preserve">!important</w:t>
      </w:r>
      <w:r w:rsidDel="00000000" w:rsidR="00000000" w:rsidRPr="00000000">
        <w:rPr>
          <w:rFonts w:ascii="Google Sans" w:cs="Google Sans" w:eastAsia="Google Sans" w:hAnsi="Google Sans"/>
          <w:i w:val="0"/>
          <w:iCs w:val="0"/>
          <w:color w:val="ffffff"/>
          <w:sz w:val="20"/>
          <w:szCs w:val="20"/>
          <w:shd w:fill="141414" w:val="clear"/>
          <w:rtl w:val="0"/>
        </w:rPr>
        <w:t xml:space="preserve">; stroke-width: </w:t>
      </w:r>
      <w:r w:rsidDel="00000000" w:rsidR="00000000" w:rsidRPr="00000000">
        <w:rPr>
          <w:rFonts w:ascii="Google Sans" w:cs="Google Sans" w:eastAsia="Google Sans" w:hAnsi="Google Sans"/>
          <w:i w:val="0"/>
          <w:iCs w:val="0"/>
          <w:color w:val="ff96da"/>
          <w:sz w:val="20"/>
          <w:szCs w:val="20"/>
          <w:shd w:fill="141414" w:val="clear"/>
          <w:rtl w:val="0"/>
        </w:rPr>
        <w:t xml:space="preserve">2px</w:t>
      </w:r>
      <w:r w:rsidDel="00000000" w:rsidR="00000000" w:rsidRPr="00000000">
        <w:rPr>
          <w:rFonts w:ascii="Google Sans" w:cs="Google Sans" w:eastAsia="Google Sans" w:hAnsi="Google Sans"/>
          <w:i w:val="0"/>
          <w:iCs w:val="0"/>
          <w:color w:val="ff5a59"/>
          <w:sz w:val="20"/>
          <w:szCs w:val="20"/>
          <w:shd w:fill="141414" w:val="clear"/>
          <w:rtl w:val="0"/>
        </w:rPr>
        <w:t xml:space="preserve">!important</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style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head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"container"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"tree-container"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Phylogenetic Timeline of Pathogens &amp; AI Discoveries</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"tree-svg-target"</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"details-panel"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System &amp; Curation Inspector</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"node-inspector-content"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Select a terminal node on the tree to inspect matched AI discoveries, phenotypic database records, and computational diagnostic options.</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script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"https://cdnjs.cloudflare.com/ajax/libs/d3/5.16.0/d3.min.js"</w:t>
      </w:r>
      <w:r w:rsidDel="00000000" w:rsidR="00000000" w:rsidRPr="00000000">
        <w:rPr>
          <w:rFonts w:ascii="Google Sans" w:cs="Google Sans" w:eastAsia="Google Sans" w:hAnsi="Google Sans"/>
          <w:i w:val="0"/>
          <w:iCs w:val="0"/>
          <w:color w:val="ffffff"/>
          <w:sz w:val="20"/>
          <w:szCs w:val="20"/>
          <w:shd w:fill="141414" w:val="clear"/>
          <w:rtl w:val="0"/>
        </w:rPr>
        <w:t xml:space="preserve">&gt;&lt;/</w:t>
      </w:r>
      <w:r w:rsidDel="00000000" w:rsidR="00000000" w:rsidRPr="00000000">
        <w:rPr>
          <w:rFonts w:ascii="Google Sans" w:cs="Google Sans" w:eastAsia="Google Sans" w:hAnsi="Google Sans"/>
          <w:i w:val="0"/>
          <w:iCs w:val="0"/>
          <w:color w:val="4fa0ff"/>
          <w:sz w:val="20"/>
          <w:szCs w:val="20"/>
          <w:shd w:fill="141414" w:val="clear"/>
          <w:rtl w:val="0"/>
        </w:rPr>
        <w:t xml:space="preserve">script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script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"module"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i w:val="0"/>
          <w:iCs w:val="0"/>
          <w:color w:val="ffffff"/>
          <w:sz w:val="20"/>
          <w:szCs w:val="20"/>
          <w:shd w:fill="141414" w:val="clear"/>
          <w:rtl w:val="0"/>
        </w:rPr>
        <w:t xml:space="preserve"> { phylotree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"https://cdn.skypack.dev/phylotree"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Annotated Newick string linking pathogens to database records and AI milestones</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newickString = </w:t>
      </w:r>
      <w:r w:rsidDel="00000000" w:rsidR="00000000" w:rsidRPr="00000000">
        <w:rPr>
          <w:rFonts w:ascii="Google Sans" w:cs="Google Sans" w:eastAsia="Google Sans" w:hAnsi="Google Sans"/>
          <w:i w:val="0"/>
          <w:iCs w:val="0"/>
          <w:color w:val="60d673"/>
          <w:sz w:val="20"/>
          <w:szCs w:val="20"/>
          <w:shd w:fill="141414" w:val="clear"/>
          <w:rtl w:val="0"/>
        </w:rPr>
        <w:t xml:space="preserve">"((((Mycobacterium_tuberculosis{Mykrobe_Atlas_2026}:0.12,Mycobacterium_bovis:0.07):0.05,Acinetobacter_baumannii_MDR{Abaucin_LolE_2023}:0.18):0.09,(Staphylococcus_au_MRSA{Wong_Gradient_2023}:0.15,Streptococcus_pneumoniae:0.22):0.08):0.25,Escherichia_coli_ATCC25922{Halicin_PMF_2020}:0.04);"</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initializeTreeViewer</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treeInstance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i w:val="0"/>
          <w:iCs w:val="0"/>
          <w:color w:val="ffffff"/>
          <w:sz w:val="20"/>
          <w:szCs w:val="20"/>
          <w:shd w:fill="141414" w:val="clear"/>
          <w:rtl w:val="0"/>
        </w:rPr>
        <w:t xml:space="preserve"> phylotree(newickString);</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renderer = treeInstance.render({</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container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"#tree-svg-target"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width</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800</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height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550</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layout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"radial"</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"align-tips"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zoom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Style nodes dynamically based on embedded AI milestones</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renderer.style_nodes((domElement, nodeData) =&gt;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circle = domElement.select(</w:t>
      </w:r>
      <w:r w:rsidDel="00000000" w:rsidR="00000000" w:rsidRPr="00000000">
        <w:rPr>
          <w:rFonts w:ascii="Google Sans" w:cs="Google Sans" w:eastAsia="Google Sans" w:hAnsi="Google Sans"/>
          <w:i w:val="0"/>
          <w:iCs w:val="0"/>
          <w:color w:val="60d673"/>
          <w:sz w:val="20"/>
          <w:szCs w:val="20"/>
          <w:shd w:fill="141414" w:val="clear"/>
          <w:rtl w:val="0"/>
        </w:rPr>
        <w:t xml:space="preserve">"circle"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name = nodeData.data.name;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i w:val="0"/>
          <w:iCs w:val="0"/>
          <w:color w:val="ffffff"/>
          <w:sz w:val="20"/>
          <w:szCs w:val="20"/>
          <w:shd w:fill="141414" w:val="clear"/>
          <w:rtl w:val="0"/>
        </w:rPr>
        <w:t xml:space="preserve"> (name &amp;&amp; name.includes(</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circle.attr(</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.style(</w:t>
      </w:r>
      <w:r w:rsidDel="00000000" w:rsidR="00000000" w:rsidRPr="00000000">
        <w:rPr>
          <w:rFonts w:ascii="Google Sans" w:cs="Google Sans" w:eastAsia="Google Sans" w:hAnsi="Google Sans"/>
          <w:i w:val="0"/>
          <w:iCs w:val="0"/>
          <w:color w:val="60d673"/>
          <w:sz w:val="20"/>
          <w:szCs w:val="20"/>
          <w:shd w:fill="141414" w:val="clear"/>
          <w:rtl w:val="0"/>
        </w:rPr>
        <w:t xml:space="preserve">"fill"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"#dc3545"</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.style(</w:t>
      </w:r>
      <w:r w:rsidDel="00000000" w:rsidR="00000000" w:rsidRPr="00000000">
        <w:rPr>
          <w:rFonts w:ascii="Google Sans" w:cs="Google Sans" w:eastAsia="Google Sans" w:hAnsi="Google Sans"/>
          <w:i w:val="0"/>
          <w:iCs w:val="0"/>
          <w:color w:val="60d673"/>
          <w:sz w:val="20"/>
          <w:szCs w:val="20"/>
          <w:shd w:fill="141414" w:val="clear"/>
          <w:rtl w:val="0"/>
        </w:rPr>
        <w:t xml:space="preserve">"stroke"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"#ffffff"</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.style(</w:t>
      </w:r>
      <w:r w:rsidDel="00000000" w:rsidR="00000000" w:rsidRPr="00000000">
        <w:rPr>
          <w:rFonts w:ascii="Google Sans" w:cs="Google Sans" w:eastAsia="Google Sans" w:hAnsi="Google Sans"/>
          <w:i w:val="0"/>
          <w:iCs w:val="0"/>
          <w:color w:val="60d673"/>
          <w:sz w:val="20"/>
          <w:szCs w:val="20"/>
          <w:shd w:fill="141414" w:val="clear"/>
          <w:rtl w:val="0"/>
        </w:rPr>
        <w:t xml:space="preserve">"stroke-width"</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"2px"</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circle.attr(</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.style(</w:t>
      </w:r>
      <w:r w:rsidDel="00000000" w:rsidR="00000000" w:rsidRPr="00000000">
        <w:rPr>
          <w:rFonts w:ascii="Google Sans" w:cs="Google Sans" w:eastAsia="Google Sans" w:hAnsi="Google Sans"/>
          <w:i w:val="0"/>
          <w:iCs w:val="0"/>
          <w:color w:val="60d673"/>
          <w:sz w:val="20"/>
          <w:szCs w:val="20"/>
          <w:shd w:fill="141414" w:val="clear"/>
          <w:rtl w:val="0"/>
        </w:rPr>
        <w:t xml:space="preserve">"fill"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"#0d6efd"</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Update the details panel when a node is clicked</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treeInstance.selection_callback((selectedNodes) =&gt;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inspector = </w:t>
      </w:r>
      <w:r w:rsidDel="00000000" w:rsidR="00000000" w:rsidRPr="00000000">
        <w:rPr>
          <w:rFonts w:ascii="Google Sans" w:cs="Google Sans" w:eastAsia="Google Sans" w:hAnsi="Google Sans"/>
          <w:i w:val="0"/>
          <w:iCs w:val="0"/>
          <w:color w:val="ff5a59"/>
          <w:sz w:val="20"/>
          <w:szCs w:val="20"/>
          <w:shd w:fill="141414" w:val="clear"/>
          <w:rtl w:val="0"/>
        </w:rPr>
        <w:t xml:space="preserve">document</w:t>
      </w:r>
      <w:r w:rsidDel="00000000" w:rsidR="00000000" w:rsidRPr="00000000">
        <w:rPr>
          <w:rFonts w:ascii="Google Sans" w:cs="Google Sans" w:eastAsia="Google Sans" w:hAnsi="Google Sans"/>
          <w:i w:val="0"/>
          <w:iCs w:val="0"/>
          <w:color w:val="ffffff"/>
          <w:sz w:val="20"/>
          <w:szCs w:val="20"/>
          <w:shd w:fill="141414" w:val="clear"/>
          <w:rtl w:val="0"/>
        </w:rPr>
        <w:t xml:space="preserve">.getElementById(</w:t>
      </w:r>
      <w:r w:rsidDel="00000000" w:rsidR="00000000" w:rsidRPr="00000000">
        <w:rPr>
          <w:rFonts w:ascii="Google Sans" w:cs="Google Sans" w:eastAsia="Google Sans" w:hAnsi="Google Sans"/>
          <w:i w:val="0"/>
          <w:iCs w:val="0"/>
          <w:color w:val="60d673"/>
          <w:sz w:val="20"/>
          <w:szCs w:val="20"/>
          <w:shd w:fill="141414" w:val="clear"/>
          <w:rtl w:val="0"/>
        </w:rPr>
        <w:t xml:space="preserve">"node-inspector-content"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i w:val="0"/>
          <w:iCs w:val="0"/>
          <w:color w:val="ffffff"/>
          <w:sz w:val="20"/>
          <w:szCs w:val="20"/>
          <w:shd w:fill="141414" w:val="clear"/>
          <w:rtl w:val="0"/>
        </w:rPr>
        <w:t xml:space="preserve"> (!selectedNodes || selectedNodes.length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inspector.innerHTML = </w:t>
      </w:r>
      <w:r w:rsidDel="00000000" w:rsidR="00000000" w:rsidRPr="00000000">
        <w:rPr>
          <w:rFonts w:ascii="Google Sans" w:cs="Google Sans" w:eastAsia="Google Sans" w:hAnsi="Google Sans"/>
          <w:i w:val="0"/>
          <w:iCs w:val="0"/>
          <w:color w:val="60d673"/>
          <w:sz w:val="20"/>
          <w:szCs w:val="20"/>
          <w:shd w:fill="141414" w:val="clear"/>
          <w:rtl w:val="0"/>
        </w:rPr>
        <w:t xml:space="preserve">"&lt;p&gt;Select a terminal node on the tree to inspect matched AI discoveries, phenotypic database records, and computational diagnostic options.&lt;/p&gt;"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selectedNode = selectedNodes;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rawName = selectedNode.data.name;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metaMatch = rawName.match(</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speciesName = metaMatch? metaMatch.replace(</w:t>
      </w:r>
      <w:r w:rsidDel="00000000" w:rsidR="00000000" w:rsidRPr="00000000">
        <w:rPr>
          <w:rFonts w:ascii="Google Sans" w:cs="Google Sans" w:eastAsia="Google Sans" w:hAnsi="Google Sans"/>
          <w:i w:val="0"/>
          <w:iCs w:val="0"/>
          <w:color w:val="ff5a59"/>
          <w:sz w:val="20"/>
          <w:szCs w:val="20"/>
          <w:shd w:fill="141414" w:val="clear"/>
          <w:rtl w:val="0"/>
        </w:rPr>
        <w:t xml:space="preserve">/_/g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 : rawName.replace(</w:t>
      </w:r>
      <w:r w:rsidDel="00000000" w:rsidR="00000000" w:rsidRPr="00000000">
        <w:rPr>
          <w:rFonts w:ascii="Google Sans" w:cs="Google Sans" w:eastAsia="Google Sans" w:hAnsi="Google Sans"/>
          <w:i w:val="0"/>
          <w:iCs w:val="0"/>
          <w:color w:val="ff5a59"/>
          <w:sz w:val="20"/>
          <w:szCs w:val="20"/>
          <w:shd w:fill="141414" w:val="clear"/>
          <w:rtl w:val="0"/>
        </w:rPr>
        <w:t xml:space="preserve">/_/g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i w:val="0"/>
          <w:iCs w:val="0"/>
          <w:color w:val="ffffff"/>
          <w:sz w:val="20"/>
          <w:szCs w:val="20"/>
          <w:shd w:fill="141414" w:val="clear"/>
          <w:rtl w:val="0"/>
        </w:rPr>
        <w:t xml:space="preserve"> aiMilestone = metaMatch? metaMatch.replace(</w:t>
      </w:r>
      <w:r w:rsidDel="00000000" w:rsidR="00000000" w:rsidRPr="00000000">
        <w:rPr>
          <w:rFonts w:ascii="Google Sans" w:cs="Google Sans" w:eastAsia="Google Sans" w:hAnsi="Google Sans"/>
          <w:i w:val="0"/>
          <w:iCs w:val="0"/>
          <w:color w:val="ff5a59"/>
          <w:sz w:val="20"/>
          <w:szCs w:val="20"/>
          <w:shd w:fill="141414" w:val="clear"/>
          <w:rtl w:val="0"/>
        </w:rPr>
        <w:t xml:space="preserve">/_/g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"No explicit AI milestone associated with this strain."</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br w:type="textWrapping"/>
        <w:t xml:space="preserve">        inspector.innerHTML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&lt;div style="padding:10px; border-left:4px solid #0d6efd; background-color:#f8f9fa;"&gt;</w:t>
        <w:br w:type="textWrapping"/>
        <w:t xml:space="preserve">            &lt;h3 style="margin-top:0; color:#212529;"&gt;${speciesName}&lt;/h3&gt;</w:t>
        <w:br w:type="textWrapping"/>
        <w:t xml:space="preserve">            &lt;p&gt;&lt;strong&gt;Associated AI Milestone:&lt;/strong&gt; &lt;span style="color:#dc3545; font-weight:bold;"&gt;${aiMilestone}&lt;/span&gt;&lt;/p&gt;</w:t>
        <w:br w:type="textWrapping"/>
        <w:t xml:space="preserve">            &lt;p&gt;&lt;strong&gt;Clade Distance to Node:&lt;/strong&gt; ${selectedNode.data.attribute || "N/A"}&lt;/p&gt;</w:t>
        <w:br w:type="textWrapping"/>
        <w:t xml:space="preserve">            &lt;hr style="border:0; border-top:1px solid #dee2e6; margin:15px 0;"&gt;</w:t>
        <w:br w:type="textWrapping"/>
        <w:t xml:space="preserve">            &lt;h4&gt;Diagnostic Database Integrations&lt;/h4&gt;</w:t>
        <w:br w:type="textWrapping"/>
        <w:t xml:space="preserve">            &lt;table style="width:100%; border-collapse:collapse; font-size:12px;"&gt;</w:t>
        <w:br w:type="textWrapping"/>
        <w:t xml:space="preserve">              &lt;tr style="border-bottom:1px solid #dee2e6;"&gt;&lt;td style="padding:5px 0; font-weight:bold;"&gt;CARD Resistome Mapping:&lt;/td&gt;&lt;td&gt;Enabled (Pathogen-of-Origin Class)&lt;/td&gt;&lt;/tr&gt;</w:t>
        <w:br w:type="textWrapping"/>
        <w:t xml:space="preserve">              &lt;tr style="border-bottom:1px solid #dee2e6;"&gt;&lt;td style="padding:5px 0; font-weight:bold;"&gt;BV-BRC Phenotypes:&lt;/td&gt;&lt;td&gt;AST Pan-Resistant Record Matched&lt;/td&gt;&lt;/tr&gt;</w:t>
        <w:br w:type="textWrapping"/>
        <w:t xml:space="preserve">              &lt;tr style="border-bottom:1px solid #dee2e6;"&gt;&lt;td style="padding:5px 0; font-weight:bold;"&gt;BacDive API Coverage:&lt;/td&gt;&lt;td&gt;Motility &amp; Oxygen Predictions Available&lt;/td&gt;&lt;/tr&gt;</w:t>
        <w:br w:type="textWrapping"/>
        <w:t xml:space="preserve">            &lt;/table&gt;</w:t>
        <w:br w:type="textWrapping"/>
        <w:t xml:space="preserve">          &lt;/div&gt;</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i w:val="0"/>
          <w:iCs w:val="0"/>
          <w:color w:val="ffffff"/>
          <w:sz w:val="20"/>
          <w:szCs w:val="20"/>
          <w:shd w:fill="141414" w:val="clear"/>
          <w:rtl w:val="0"/>
        </w:rPr>
        <w:t xml:space="preserve">.addEventListener(</w:t>
      </w:r>
      <w:r w:rsidDel="00000000" w:rsidR="00000000" w:rsidRPr="00000000">
        <w:rPr>
          <w:rFonts w:ascii="Google Sans" w:cs="Google Sans" w:eastAsia="Google Sans" w:hAnsi="Google Sans"/>
          <w:i w:val="0"/>
          <w:iCs w:val="0"/>
          <w:color w:val="60d673"/>
          <w:sz w:val="20"/>
          <w:szCs w:val="20"/>
          <w:shd w:fill="141414" w:val="clear"/>
          <w:rtl w:val="0"/>
        </w:rPr>
        <w:t xml:space="preserve">"DOMContentLoaded"</w:t>
      </w:r>
      <w:r w:rsidDel="00000000" w:rsidR="00000000" w:rsidRPr="00000000">
        <w:rPr>
          <w:rFonts w:ascii="Google Sans" w:cs="Google Sans" w:eastAsia="Google Sans" w:hAnsi="Google Sans"/>
          <w:i w:val="0"/>
          <w:iCs w:val="0"/>
          <w:color w:val="ffffff"/>
          <w:sz w:val="20"/>
          <w:szCs w:val="20"/>
          <w:shd w:fill="141414" w:val="clear"/>
          <w:rtl w:val="0"/>
        </w:rPr>
        <w:t xml:space="preserve">, initializeTreeViewer);</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script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body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html</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Studies: Empirical Validation of Computational Drug Pipelines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populate the dynamic timeline with historical benchmarks, the platform integrates case studies of AI-discovered antibiotics. These examples illustrate the transition from traditional, brute-force laboratory screening to deep learning-driven virtual screening and targeted molecular design.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DRUG DISCOVERY PATHWAYS                                         |</w:t>
        <w:br w:type="textWrapping"/>
        <w:t xml:space="preserve">+-------------------------------------------------------------------------------------------------+</w:t>
        <w:br w:type="textWrapping"/>
        <w:t xml:space="preserve">|                                                                                                 |</w:t>
        <w:br w:type="textWrapping"/>
        <w:t xml:space="preserve">|                                                               |</w:t>
        <w:br w:type="textWrapping"/>
        <w:t xml:space="preserve">|                 |                                                                               |</w:t>
        <w:br w:type="textWrapping"/>
        <w:t xml:space="preserve">|                 |  Deep Learning Screening (Disrupting PMF)                                     |</w:t>
        <w:br w:type="textWrapping"/>
        <w:t xml:space="preserve">|                 v                                                                               |</w:t>
        <w:br w:type="textWrapping"/>
        <w:t xml:space="preserve">|            [ Halicin ]                                                                          |</w:t>
        <w:br w:type="textWrapping"/>
        <w:t xml:space="preserve">|            - Broad Spectrum Antibiotic (Gram-positive/negative) [3, 38]                  |</w:t>
        <w:br w:type="textWrapping"/>
        <w:t xml:space="preserve">|            - Disrupts transmembrane electrochemical gradient &amp; iron homeostasis   |</w:t>
        <w:br w:type="textWrapping"/>
        <w:t xml:space="preserve">|                                                                                                 |</w:t>
        <w:br w:type="textWrapping"/>
        <w:t xml:space="preserve">|  [ Generative AI / Graph Networks ]                                                             |</w:t>
        <w:br w:type="textWrapping"/>
        <w:t xml:space="preserve">|                 |                                                                               |</w:t>
        <w:br w:type="textWrapping"/>
        <w:t xml:space="preserve">|                 |  Targeted Virtual Screen (Inhibiting LolE)                                    |</w:t>
        <w:br w:type="textWrapping"/>
        <w:t xml:space="preserve">|                 v                                                                               |</w:t>
        <w:br w:type="textWrapping"/>
        <w:t xml:space="preserve">|            [ Abaucin ]                                                                          |</w:t>
        <w:br w:type="textWrapping"/>
        <w:t xml:space="preserve">|            - Narrow Spectrum Antibiotic (Selective target: A. baumannii)            |</w:t>
        <w:br w:type="textWrapping"/>
        <w:t xml:space="preserve">|            - Perturbs Gram-negative outer membrane lipoprotein trafficking        |</w:t>
        <w:br w:type="textWrapping"/>
        <w:t xml:space="preserve">|                                                                                                 |</w:t>
        <w:br w:type="textWrapping"/>
        <w:t xml:space="preserve">+-------------------------------------------------------------------------------------------------+</w:t>
        <w:br w:type="textWrapping"/>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Halicin (Broad-Spectrum Proton Motive Force Dissipator)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Discovered in 2020 by researchers at MIT and the Broad Institute, Halicin is a landmark example of deep learning-driven drug repurposing.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Discovery Pipeline</w:t>
      </w:r>
      <w:r w:rsidDel="00000000" w:rsidR="00000000" w:rsidRPr="00000000">
        <w:rPr>
          <w:rFonts w:ascii="Google Sans" w:cs="Google Sans" w:eastAsia="Google Sans" w:hAnsi="Google Sans"/>
          <w:color w:val="1f1f1f"/>
          <w:rtl w:val="0"/>
        </w:rPr>
        <w:t xml:space="preserve">: A deep neural network was trained on approximately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bioactive molecules to predict growth inhibition in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model was then deployed as a high-throughput virtual screen over the ZINC15 database (comprising nearly 1.5 billion compounds) and the Broad Institute's Drug Repurposing Hub.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The model identified a c-Jun N-terminal kinase (JNK) inhibitor, originally developed for diabetes and designated SU-3327, which exhibited powerful antibacterial activity and was renamed Halicin.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Biological Mechanism</w:t>
      </w:r>
      <w:r w:rsidDel="00000000" w:rsidR="00000000" w:rsidRPr="00000000">
        <w:rPr>
          <w:rFonts w:ascii="Google Sans" w:cs="Google Sans" w:eastAsia="Google Sans" w:hAnsi="Google Sans"/>
          <w:color w:val="1f1f1f"/>
          <w:rtl w:val="0"/>
        </w:rPr>
        <w:t xml:space="preserve">: Halicin bypasses traditional ribosomal or cell-wall targets. Instead, it disrupts the transmembrane electrochemical proton gradient (the proton motive force) and upregulates bacterial genes responsible for iron homeostasis.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disruption impairs the cell's ability to generate ATP, making it highly effective against multidrug-resistant pathogens (including </w:t>
      </w:r>
      <w:r w:rsidDel="00000000" w:rsidR="00000000" w:rsidRPr="00000000">
        <w:rPr>
          <w:rFonts w:ascii="Google Sans" w:cs="Google Sans" w:eastAsia="Google Sans" w:hAnsi="Google Sans"/>
          <w:i w:val="1"/>
          <w:iCs w:val="1"/>
          <w:color w:val="1f1f1f"/>
          <w:rtl w:val="0"/>
        </w:rPr>
        <w:t xml:space="preserve">Acinetobacter baumannii</w:t>
      </w:r>
      <w:r w:rsidDel="00000000" w:rsidR="00000000" w:rsidRPr="00000000">
        <w:rPr>
          <w:rFonts w:ascii="Google Sans" w:cs="Google Sans" w:eastAsia="Google Sans" w:hAnsi="Google Sans"/>
          <w:color w:val="1f1f1f"/>
          <w:rtl w:val="0"/>
        </w:rPr>
        <w:t xml:space="preserve">, MRSA, and </w:t>
      </w:r>
      <w:r w:rsidDel="00000000" w:rsidR="00000000" w:rsidRPr="00000000">
        <w:rPr>
          <w:rFonts w:ascii="Google Sans" w:cs="Google Sans" w:eastAsia="Google Sans" w:hAnsi="Google Sans"/>
          <w:i w:val="1"/>
          <w:iCs w:val="1"/>
          <w:color w:val="1f1f1f"/>
          <w:rtl w:val="0"/>
        </w:rPr>
        <w:t xml:space="preserve">Mycobacterium tuberculosis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of this physical mechanism, bacteria struggle to develop resistance to the compound.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Organism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Halicin MIC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Resistance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Susceptibility &amp; Biological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Staphylococcus aureus</w:t>
            </w:r>
            <w:r w:rsidDel="00000000" w:rsidR="00000000" w:rsidRPr="00000000">
              <w:rPr>
                <w:rFonts w:ascii="Google Sans" w:cs="Google Sans" w:eastAsia="Google Sans" w:hAnsi="Google Sans"/>
                <w:color w:val="1f1f1f"/>
                <w:shd w:fill="auto" w:val="clear"/>
                <w:rtl w:val="0"/>
              </w:rPr>
              <w:t xml:space="preserve"> (ATCC BAA-977)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45430" cy="216621"/>
                  <wp:effectExtent b="0" l="0" r="0" t="0"/>
                  <wp:docPr id="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745430" cy="21662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Gram-positive resistant isolate.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susceptibility; proton motive force is selectively dissipated across thick peptidoglycan cell walls.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Escherichia coli</w:t>
            </w:r>
            <w:r w:rsidDel="00000000" w:rsidR="00000000" w:rsidRPr="00000000">
              <w:rPr>
                <w:rFonts w:ascii="Google Sans" w:cs="Google Sans" w:eastAsia="Google Sans" w:hAnsi="Google Sans"/>
                <w:color w:val="1f1f1f"/>
                <w:shd w:fill="auto" w:val="clear"/>
                <w:rtl w:val="0"/>
              </w:rPr>
              <w:t xml:space="preserve"> (ATCC 25922)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45430" cy="216621"/>
                  <wp:effectExtent b="0" l="0" r="0" t="0"/>
                  <wp:docPr id="5"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745430" cy="21662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Gram-negative control strain.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susceptible; outer membrane is easily penetrated by Halicin's chemical structure.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Acinetobacter baumannii</w:t>
            </w:r>
            <w:r w:rsidDel="00000000" w:rsidR="00000000" w:rsidRPr="00000000">
              <w:rPr>
                <w:rFonts w:ascii="Google Sans" w:cs="Google Sans" w:eastAsia="Google Sans" w:hAnsi="Google Sans"/>
                <w:color w:val="1f1f1f"/>
                <w:shd w:fill="auto" w:val="clear"/>
                <w:rtl w:val="0"/>
              </w:rPr>
              <w:t xml:space="preserve"> (ATCC BAA-747)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31850" cy="217561"/>
                  <wp:effectExtent b="0" l="0" r="0" t="0"/>
                  <wp:docPr id="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831850" cy="21756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Gram-negative clinical strain.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Susceptible; effectively cleared in animal wound models.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MDR Acinetobacter baumannii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31850" cy="217561"/>
                  <wp:effectExtent b="0" l="0" r="0" t="0"/>
                  <wp:docPr id="7"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831850" cy="21756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Multidrug-resistant clinical isolate.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Susceptible, but requires elevated therapeutic concentrations.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Pseudomonas aeruginosa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Intrinsic Resistance.</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High-priority Gram-negative pathogen.</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Unsusceptible; low outer membrane permeability prevents the intracellular accumulation of Halicin.</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Chemical Instability</w:t>
      </w:r>
      <w:r w:rsidDel="00000000" w:rsidR="00000000" w:rsidRPr="00000000">
        <w:rPr>
          <w:rFonts w:ascii="Google Sans" w:cs="Google Sans" w:eastAsia="Google Sans" w:hAnsi="Google Sans"/>
          <w:color w:val="1f1f1f"/>
          <w:rtl w:val="0"/>
        </w:rPr>
        <w:t xml:space="preserve">: During validation, Halicin showed degradation and an increase in minimum inhibitory concentrations (MICs) when stored at </w:t>
      </w:r>
      <w:r w:rsidDel="00000000" w:rsidR="00000000" w:rsidRPr="00000000">
        <w:rPr>
          <w:rFonts w:ascii="Google Sans" w:cs="Google Sans" w:eastAsia="Google Sans" w:hAnsi="Google Sans"/>
          <w:color w:val="1f1f1f"/>
        </w:rPr>
        <w:drawing>
          <wp:inline distB="19050" distT="19050" distL="19050" distR="19050">
            <wp:extent cx="366812" cy="234000"/>
            <wp:effectExtent b="0" l="0" r="0" t="0"/>
            <wp:docPr id="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366812" cy="234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over approximately one week, indicating chemical instability that must be addressed before clinical use.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2: Abaucin (Narrow-Spectrum Selective Inhibitor)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Discovered in 2023, Abaucin represents a shift toward narrow-spectrum, precision targeted antimicrobials designed to prevent the disruption of host microbiomes.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Discovery Pipeline</w:t>
      </w:r>
      <w:r w:rsidDel="00000000" w:rsidR="00000000" w:rsidRPr="00000000">
        <w:rPr>
          <w:rFonts w:ascii="Google Sans" w:cs="Google Sans" w:eastAsia="Google Sans" w:hAnsi="Google Sans"/>
          <w:color w:val="1f1f1f"/>
          <w:rtl w:val="0"/>
        </w:rPr>
        <w:t xml:space="preserve">: To combat </w:t>
      </w:r>
      <w:r w:rsidDel="00000000" w:rsidR="00000000" w:rsidRPr="00000000">
        <w:rPr>
          <w:rFonts w:ascii="Google Sans" w:cs="Google Sans" w:eastAsia="Google Sans" w:hAnsi="Google Sans"/>
          <w:i w:val="1"/>
          <w:iCs w:val="1"/>
          <w:color w:val="1f1f1f"/>
          <w:rtl w:val="0"/>
        </w:rPr>
        <w:t xml:space="preserve">Acinetobacter baumannii</w:t>
      </w:r>
      <w:r w:rsidDel="00000000" w:rsidR="00000000" w:rsidRPr="00000000">
        <w:rPr>
          <w:rFonts w:ascii="Google Sans" w:cs="Google Sans" w:eastAsia="Google Sans" w:hAnsi="Google Sans"/>
          <w:color w:val="1f1f1f"/>
          <w:rtl w:val="0"/>
        </w:rPr>
        <w:t xml:space="preserve">—a Gram-negative hospital pathogen with widespread drug resistance—researchers screened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9"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molecules in vitro to compile a growth inhibition dataset.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deep neural network was trained on these structured inputs and used to screen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10"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unseen compounds from the Drug Repurposing Hub.</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The computational model finished its predictions in under two hours, highlighting a compound subsequently named Abaucin.</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Biological Mechanism</w:t>
      </w:r>
      <w:r w:rsidDel="00000000" w:rsidR="00000000" w:rsidRPr="00000000">
        <w:rPr>
          <w:rFonts w:ascii="Google Sans" w:cs="Google Sans" w:eastAsia="Google Sans" w:hAnsi="Google Sans"/>
          <w:color w:val="1f1f1f"/>
          <w:rtl w:val="0"/>
        </w:rPr>
        <w:t xml:space="preserve">: Abaucin selectively blocks lipoprotein trafficking from the inner to the outer bacterial membrane.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specifically inhibits LolE, an essential membrane protein involved in this pathway.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Although LolE is conserved across all Gram-negative species, Abaucin displays high selectivity for </w:t>
      </w:r>
      <w:r w:rsidDel="00000000" w:rsidR="00000000" w:rsidRPr="00000000">
        <w:rPr>
          <w:rFonts w:ascii="Google Sans" w:cs="Google Sans" w:eastAsia="Google Sans" w:hAnsi="Google Sans"/>
          <w:i w:val="1"/>
          <w:iCs w:val="1"/>
          <w:color w:val="1f1f1f"/>
          <w:rtl w:val="0"/>
        </w:rPr>
        <w:t xml:space="preserve">A. baumannii</w:t>
      </w:r>
      <w:r w:rsidDel="00000000" w:rsidR="00000000" w:rsidRPr="00000000">
        <w:rPr>
          <w:rFonts w:ascii="Google Sans" w:cs="Google Sans" w:eastAsia="Google Sans" w:hAnsi="Google Sans"/>
          <w:color w:val="1f1f1f"/>
          <w:rtl w:val="0"/>
        </w:rPr>
        <w:t xml:space="preserve">, likely due to subtle structural differences in how this pathogen performs lipoprotein trafficking.</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computational tools, genomic resources, and physical phenotyping engines into a unified visual platform provides a clear roadmap for modern clinical diagnostics. Deploying these platforms on virtual private infrastructure offers a cost-effective, scalable way to make complex bacteriological analyses accessible to a wider research audience.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the frontend around D3 layouts for tree metrics and Cytoscape styling for dialectic relationships, developers can replace static tables with interactive dashboards. This layout allows researchers to trace evolutionary pathways, inspect phenotypic and genomic data, and navigate complex AI models from a single, responsive interface, accelerating both diagnostics and drug discovery.</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the Antibacterial Efficacy of Halicin against Pathogenic Bacteria - PMC - NIH, accessed June 17,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https://pmc.ncbi.nlm.nih.gov/articles/PMC8698312/</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scientists find a drug that could combat drug-resistant infections | MIT News, accessed June 17, 2026, </w:t>
      </w:r>
      <w:hyperlink r:id="rId47">
        <w:r w:rsidDel="00000000" w:rsidR="00000000" w:rsidRPr="00000000">
          <w:rPr>
            <w:rFonts w:ascii="Google Sans" w:cs="Google Sans" w:eastAsia="Google Sans" w:hAnsi="Google Sans"/>
            <w:color w:val="0000ee"/>
            <w:sz w:val="24"/>
            <w:szCs w:val="24"/>
            <w:u w:val="single"/>
            <w:rtl w:val="0"/>
          </w:rPr>
          <w:t xml:space="preserve">https://news.mit.edu/2023/using-ai-scientists-combat-drug-resistant-infections-0525</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learning approach to antibiotic discovery - PMC - NIH, accessed June 17,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https://pmc.ncbi.nlm.nih.gov/articles/PMC8349178/</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researchers identify a new class of antibiotic candidates - Wyss Institute, accessed June 17, 2026, </w:t>
      </w:r>
      <w:hyperlink r:id="rId49">
        <w:r w:rsidDel="00000000" w:rsidR="00000000" w:rsidRPr="00000000">
          <w:rPr>
            <w:rFonts w:ascii="Google Sans" w:cs="Google Sans" w:eastAsia="Google Sans" w:hAnsi="Google Sans"/>
            <w:color w:val="0000ee"/>
            <w:sz w:val="24"/>
            <w:szCs w:val="24"/>
            <w:u w:val="single"/>
            <w:rtl w:val="0"/>
          </w:rPr>
          <w:t xml:space="preserve">https://wyss.harvard.edu/news/using-ai-researchers-identify-a-new-class-of-antibiotic-candidates/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learning-guided discovery of an antibiotic targeting Acinetobacter baumannii., accessed June 17, 2026, </w:t>
      </w:r>
      <w:hyperlink r:id="rId50">
        <w:r w:rsidDel="00000000" w:rsidR="00000000" w:rsidRPr="00000000">
          <w:rPr>
            <w:rFonts w:ascii="Google Sans" w:cs="Google Sans" w:eastAsia="Google Sans" w:hAnsi="Google Sans"/>
            <w:color w:val="0000ee"/>
            <w:sz w:val="24"/>
            <w:szCs w:val="24"/>
            <w:u w:val="single"/>
            <w:rtl w:val="0"/>
          </w:rPr>
          <w:t xml:space="preserve">https://www.broadinstitute.org/publications/broad1338131</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Comprehensive Antibiotic Resistance Database, accessed June 17, 2026, </w:t>
      </w:r>
      <w:hyperlink r:id="rId51">
        <w:r w:rsidDel="00000000" w:rsidR="00000000" w:rsidRPr="00000000">
          <w:rPr>
            <w:rFonts w:ascii="Google Sans" w:cs="Google Sans" w:eastAsia="Google Sans" w:hAnsi="Google Sans"/>
            <w:color w:val="0000ee"/>
            <w:sz w:val="24"/>
            <w:szCs w:val="24"/>
            <w:u w:val="single"/>
            <w:rtl w:val="0"/>
          </w:rPr>
          <w:t xml:space="preserve">https://card.mcmaster.ca/</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Antimicrobial Resistance (AMR) - BV-BRC, accessed June 17, 2026, </w:t>
      </w:r>
      <w:hyperlink r:id="rId52">
        <w:r w:rsidDel="00000000" w:rsidR="00000000" w:rsidRPr="00000000">
          <w:rPr>
            <w:rFonts w:ascii="Google Sans" w:cs="Google Sans" w:eastAsia="Google Sans" w:hAnsi="Google Sans"/>
            <w:color w:val="0000ee"/>
            <w:sz w:val="24"/>
            <w:szCs w:val="24"/>
            <w:u w:val="single"/>
            <w:rtl w:val="0"/>
          </w:rPr>
          <w:t xml:space="preserve">https://www.bv-brc.org/docs/data_protocols/antimicrobial_resistance.html</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 BV-BRC, accessed June 17, 2026, </w:t>
      </w:r>
      <w:hyperlink r:id="rId53">
        <w:r w:rsidDel="00000000" w:rsidR="00000000" w:rsidRPr="00000000">
          <w:rPr>
            <w:rFonts w:ascii="Google Sans" w:cs="Google Sans" w:eastAsia="Google Sans" w:hAnsi="Google Sans"/>
            <w:color w:val="0000ee"/>
            <w:sz w:val="24"/>
            <w:szCs w:val="24"/>
            <w:u w:val="single"/>
            <w:rtl w:val="0"/>
          </w:rPr>
          <w:t xml:space="preserve">https://www.bv-brc.org/docs/system_documentation/data.html</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Antimicrobial Resistance Prediction ..., accessed June 17,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https://pmc.ncbi.nlm.nih.gov/articles/PMC10044311/</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BV-BRC: Bacterial and Viral Bioinformatics Resource Center, accessed June 17, 2026, </w:t>
      </w:r>
      <w:hyperlink r:id="rId55">
        <w:r w:rsidDel="00000000" w:rsidR="00000000" w:rsidRPr="00000000">
          <w:rPr>
            <w:rFonts w:ascii="Google Sans" w:cs="Google Sans" w:eastAsia="Google Sans" w:hAnsi="Google Sans"/>
            <w:color w:val="0000ee"/>
            <w:sz w:val="24"/>
            <w:szCs w:val="24"/>
            <w:u w:val="single"/>
            <w:rtl w:val="0"/>
          </w:rPr>
          <w:t xml:space="preserve">https://www.bv-brc.org/</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machine learning on clinical MALDI-TOF MS ..., accessed June 17, 2026, </w:t>
      </w:r>
      <w:hyperlink r:id="rId56">
        <w:r w:rsidDel="00000000" w:rsidR="00000000" w:rsidRPr="00000000">
          <w:rPr>
            <w:rFonts w:ascii="Google Sans" w:cs="Google Sans" w:eastAsia="Google Sans" w:hAnsi="Google Sans"/>
            <w:color w:val="0000ee"/>
            <w:sz w:val="24"/>
            <w:szCs w:val="24"/>
            <w:u w:val="single"/>
            <w:rtl w:val="0"/>
          </w:rPr>
          <w:t xml:space="preserve">https://www.biorxiv.org/content/10.1101/2025.01.25.634879v3.full-text</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Mykrobe - Antimicrobial resistance and outbreak information within minutes, accessed June 17, 2026, </w:t>
      </w:r>
      <w:hyperlink r:id="rId57">
        <w:r w:rsidDel="00000000" w:rsidR="00000000" w:rsidRPr="00000000">
          <w:rPr>
            <w:rFonts w:ascii="Google Sans" w:cs="Google Sans" w:eastAsia="Google Sans" w:hAnsi="Google Sans"/>
            <w:color w:val="0000ee"/>
            <w:sz w:val="24"/>
            <w:szCs w:val="24"/>
            <w:u w:val="single"/>
            <w:rtl w:val="0"/>
          </w:rPr>
          <w:t xml:space="preserve">https://www.mykrobe.com/</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 MicrobeJ, accessed June 17, 2026, </w:t>
      </w:r>
      <w:hyperlink r:id="rId58">
        <w:r w:rsidDel="00000000" w:rsidR="00000000" w:rsidRPr="00000000">
          <w:rPr>
            <w:rFonts w:ascii="Google Sans" w:cs="Google Sans" w:eastAsia="Google Sans" w:hAnsi="Google Sans"/>
            <w:color w:val="0000ee"/>
            <w:sz w:val="24"/>
            <w:szCs w:val="24"/>
            <w:u w:val="single"/>
            <w:rtl w:val="0"/>
          </w:rPr>
          <w:t xml:space="preserve">https://www.microbej.com/documentation/</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Celldetective: an AI-enhanced image analysis tool for unraveling dynamic cell interactions, accessed June 17, 2026, </w:t>
      </w:r>
      <w:hyperlink r:id="rId59">
        <w:r w:rsidDel="00000000" w:rsidR="00000000" w:rsidRPr="00000000">
          <w:rPr>
            <w:rFonts w:ascii="Google Sans" w:cs="Google Sans" w:eastAsia="Google Sans" w:hAnsi="Google Sans"/>
            <w:color w:val="0000ee"/>
            <w:sz w:val="24"/>
            <w:szCs w:val="24"/>
            <w:u w:val="single"/>
            <w:rtl w:val="0"/>
          </w:rPr>
          <w:t xml:space="preserve">https://elifesciences.org/reviewed-preprints/105302</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MicrobeJ, a tool for high throughput bacterial cell detection and quantitative analysis - PMC, accessed June 17,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https://pmc.ncbi.nlm.nih.gov/articles/PMC5010025/</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RMS | MicrobeJ, accessed June 17, 2026, </w:t>
      </w:r>
      <w:hyperlink r:id="rId61">
        <w:r w:rsidDel="00000000" w:rsidR="00000000" w:rsidRPr="00000000">
          <w:rPr>
            <w:rFonts w:ascii="Google Sans" w:cs="Google Sans" w:eastAsia="Google Sans" w:hAnsi="Google Sans"/>
            <w:color w:val="0000ee"/>
            <w:sz w:val="24"/>
            <w:szCs w:val="24"/>
            <w:u w:val="single"/>
            <w:rtl w:val="0"/>
          </w:rPr>
          <w:t xml:space="preserve">https://www.rms.org.uk/resource/microbej.html</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BacDive in 2025: the core database for prokaryotic strain data ..., accessed June 17, 2026, </w:t>
      </w:r>
      <w:hyperlink r:id="rId62">
        <w:r w:rsidDel="00000000" w:rsidR="00000000" w:rsidRPr="00000000">
          <w:rPr>
            <w:rFonts w:ascii="Google Sans" w:cs="Google Sans" w:eastAsia="Google Sans" w:hAnsi="Google Sans"/>
            <w:color w:val="0000ee"/>
            <w:sz w:val="24"/>
            <w:szCs w:val="24"/>
            <w:u w:val="single"/>
            <w:rtl w:val="0"/>
          </w:rPr>
          <w:t xml:space="preserve">https://academic.oup.com/nar/article/53/D1/D748/7848838</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Microbiology and Microbiome Research - arXiv, accessed June 17, 2026, </w:t>
      </w:r>
      <w:hyperlink r:id="rId63">
        <w:r w:rsidDel="00000000" w:rsidR="00000000" w:rsidRPr="00000000">
          <w:rPr>
            <w:rFonts w:ascii="Google Sans" w:cs="Google Sans" w:eastAsia="Google Sans" w:hAnsi="Google Sans"/>
            <w:color w:val="0000ee"/>
            <w:sz w:val="24"/>
            <w:szCs w:val="24"/>
            <w:u w:val="single"/>
            <w:rtl w:val="0"/>
          </w:rPr>
          <w:t xml:space="preserve">https://arxiv.org/html/2411.01098v1/</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Antibiotic resistance prediction for Mycobacterium tuberculosis from genome sequence data with Mykrobe - PubMed, accessed June 17, 2026, </w:t>
      </w:r>
      <w:hyperlink r:id="rId64">
        <w:r w:rsidDel="00000000" w:rsidR="00000000" w:rsidRPr="00000000">
          <w:rPr>
            <w:rFonts w:ascii="Google Sans" w:cs="Google Sans" w:eastAsia="Google Sans" w:hAnsi="Google Sans"/>
            <w:color w:val="0000ee"/>
            <w:sz w:val="24"/>
            <w:szCs w:val="24"/>
            <w:u w:val="single"/>
            <w:rtl w:val="0"/>
          </w:rPr>
          <w:t xml:space="preserve">https://pubmed.ncbi.nlm.nih.gov/32055708/</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AI-Driven Raman Spectroscopy for Rapid Bacterial Identification - MDPI, accessed June 17, 2026, </w:t>
      </w:r>
      <w:hyperlink r:id="rId65">
        <w:r w:rsidDel="00000000" w:rsidR="00000000" w:rsidRPr="00000000">
          <w:rPr>
            <w:rFonts w:ascii="Google Sans" w:cs="Google Sans" w:eastAsia="Google Sans" w:hAnsi="Google Sans"/>
            <w:color w:val="0000ee"/>
            <w:sz w:val="24"/>
            <w:szCs w:val="24"/>
            <w:u w:val="single"/>
            <w:rtl w:val="0"/>
          </w:rPr>
          <w:t xml:space="preserve">https://www.mdpi.com/2673-8023/5/4/46</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Framework for Mycobacterium Tuberculosis Bacterial Growth Detection for Antimicrobial Susceptibility Testing | bioRxiv, accessed June 17, 2026, </w:t>
      </w:r>
      <w:hyperlink r:id="rId66">
        <w:r w:rsidDel="00000000" w:rsidR="00000000" w:rsidRPr="00000000">
          <w:rPr>
            <w:rFonts w:ascii="Google Sans" w:cs="Google Sans" w:eastAsia="Google Sans" w:hAnsi="Google Sans"/>
            <w:color w:val="0000ee"/>
            <w:sz w:val="24"/>
            <w:szCs w:val="24"/>
            <w:u w:val="single"/>
            <w:rtl w:val="0"/>
          </w:rPr>
          <w:t xml:space="preserve">https://www.biorxiv.org/content/10.1101/2025.02.14.638231v1</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Generation of MALDI-TOF MS for Microbial Characterization - arXiv, accessed June 17, 2026, </w:t>
      </w:r>
      <w:hyperlink r:id="rId67">
        <w:r w:rsidDel="00000000" w:rsidR="00000000" w:rsidRPr="00000000">
          <w:rPr>
            <w:rFonts w:ascii="Google Sans" w:cs="Google Sans" w:eastAsia="Google Sans" w:hAnsi="Google Sans"/>
            <w:color w:val="0000ee"/>
            <w:sz w:val="24"/>
            <w:szCs w:val="24"/>
            <w:u w:val="single"/>
            <w:rtl w:val="0"/>
          </w:rPr>
          <w:t xml:space="preserve">https://arxiv.org/html/2511.17611v1</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Antibiotic resistance prediction for Mycobacterium tuberculosis from genome sequence data with Mykrobe - PMC, accessed June 17,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https://pmc.ncbi.nlm.nih.gov/articles/PMC7004237/</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PubChem database for drug discovery - YouTube, accessed June 17, 2026, </w:t>
      </w:r>
      <w:hyperlink r:id="rId69">
        <w:r w:rsidDel="00000000" w:rsidR="00000000" w:rsidRPr="00000000">
          <w:rPr>
            <w:rFonts w:ascii="Google Sans" w:cs="Google Sans" w:eastAsia="Google Sans" w:hAnsi="Google Sans"/>
            <w:color w:val="0000ee"/>
            <w:sz w:val="24"/>
            <w:szCs w:val="24"/>
            <w:u w:val="single"/>
            <w:rtl w:val="0"/>
          </w:rPr>
          <w:t xml:space="preserve">https://www.youtube.com/watch?v=RrsH5UKLve8</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Trending Science: AI discovers powerful antibiotic to combat drug resistance - CORDIS, accessed June 17, 2026, </w:t>
      </w:r>
      <w:hyperlink r:id="rId70">
        <w:r w:rsidDel="00000000" w:rsidR="00000000" w:rsidRPr="00000000">
          <w:rPr>
            <w:rFonts w:ascii="Google Sans" w:cs="Google Sans" w:eastAsia="Google Sans" w:hAnsi="Google Sans"/>
            <w:color w:val="0000ee"/>
            <w:sz w:val="24"/>
            <w:szCs w:val="24"/>
            <w:u w:val="single"/>
            <w:rtl w:val="0"/>
          </w:rPr>
          <w:t xml:space="preserve">https://cordis.europa.eu/article/id/415392-trending-science-ai-discovers-powerful-antibiotic-to-combat-drug-resistanc</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learning-guided discovery of an antibiotic targeting Acinetobacter baumannii - PubMed, accessed June 17, 2026, </w:t>
      </w:r>
      <w:hyperlink r:id="rId71">
        <w:r w:rsidDel="00000000" w:rsidR="00000000" w:rsidRPr="00000000">
          <w:rPr>
            <w:rFonts w:ascii="Google Sans" w:cs="Google Sans" w:eastAsia="Google Sans" w:hAnsi="Google Sans"/>
            <w:color w:val="0000ee"/>
            <w:sz w:val="24"/>
            <w:szCs w:val="24"/>
            <w:u w:val="single"/>
            <w:rtl w:val="0"/>
          </w:rPr>
          <w:t xml:space="preserve">https://pubmed.ncbi.nlm.nih.gov/37231267/</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InertDB as a generative AI-expanded resource of biologically inactive small molecules from PubChem - PMC, accessed June 17, 2026,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https://pmc.ncbi.nlm.nih.gov/articles/PMC11983867/</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DeepARG: a deep learning approach for predicting antibiotic resistance genes from metagenomic data - PubMed, accessed June 17, 2026, </w:t>
      </w:r>
      <w:hyperlink r:id="rId73">
        <w:r w:rsidDel="00000000" w:rsidR="00000000" w:rsidRPr="00000000">
          <w:rPr>
            <w:rFonts w:ascii="Google Sans" w:cs="Google Sans" w:eastAsia="Google Sans" w:hAnsi="Google Sans"/>
            <w:color w:val="0000ee"/>
            <w:sz w:val="24"/>
            <w:szCs w:val="24"/>
            <w:u w:val="single"/>
            <w:rtl w:val="0"/>
          </w:rPr>
          <w:t xml:space="preserve">https://pubmed.ncbi.nlm.nih.gov/29391044/</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DeepARG: A deep learning approach for predicting antibiotic resistance genes from metagenomic data | bioRxiv, accessed June 17, 2026, </w:t>
      </w:r>
      <w:hyperlink r:id="rId74">
        <w:r w:rsidDel="00000000" w:rsidR="00000000" w:rsidRPr="00000000">
          <w:rPr>
            <w:rFonts w:ascii="Google Sans" w:cs="Google Sans" w:eastAsia="Google Sans" w:hAnsi="Google Sans"/>
            <w:color w:val="0000ee"/>
            <w:sz w:val="24"/>
            <w:szCs w:val="24"/>
            <w:u w:val="single"/>
            <w:rtl w:val="0"/>
          </w:rPr>
          <w:t xml:space="preserve">https://www.biorxiv.org/content/10.1101/149328v1.full-text</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large scale evaluation of TBProfiler and Mykrobe for antibiotic resistance prediction in Mycobacterium tuberculosis - PubMed, accessed June 17, 2026, </w:t>
      </w:r>
      <w:hyperlink r:id="rId75">
        <w:r w:rsidDel="00000000" w:rsidR="00000000" w:rsidRPr="00000000">
          <w:rPr>
            <w:rFonts w:ascii="Google Sans" w:cs="Google Sans" w:eastAsia="Google Sans" w:hAnsi="Google Sans"/>
            <w:color w:val="0000ee"/>
            <w:sz w:val="24"/>
            <w:szCs w:val="24"/>
            <w:u w:val="single"/>
            <w:rtl w:val="0"/>
          </w:rPr>
          <w:t xml:space="preserve">https://pubmed.ncbi.nlm.nih.gov/31106066/</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phylotree.js - a JavaScript library for application development and interactive data visualization in phylogenetics, accessed June 17, 2026, </w:t>
      </w:r>
      <w:hyperlink r:id="rId76">
        <w:r w:rsidDel="00000000" w:rsidR="00000000" w:rsidRPr="00000000">
          <w:rPr>
            <w:rFonts w:ascii="Google Sans" w:cs="Google Sans" w:eastAsia="Google Sans" w:hAnsi="Google Sans"/>
            <w:color w:val="0000ee"/>
            <w:sz w:val="24"/>
            <w:szCs w:val="24"/>
            <w:u w:val="single"/>
            <w:rtl w:val="0"/>
          </w:rPr>
          <w:t xml:space="preserve">https://d-nb.info/1168003954/34</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veg/phylotree.js: Interactive viewer of phylogenetic trees ... - GitHub, accessed June 17, 2026, </w:t>
      </w:r>
      <w:hyperlink r:id="rId77">
        <w:r w:rsidDel="00000000" w:rsidR="00000000" w:rsidRPr="00000000">
          <w:rPr>
            <w:rFonts w:ascii="Google Sans" w:cs="Google Sans" w:eastAsia="Google Sans" w:hAnsi="Google Sans"/>
            <w:color w:val="0000ee"/>
            <w:sz w:val="24"/>
            <w:szCs w:val="24"/>
            <w:u w:val="single"/>
            <w:rtl w:val="0"/>
          </w:rPr>
          <w:t xml:space="preserve">https://github.com/veg/phylotree.js/</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phylotree.js - a JavaScript library for application development and interactive data visualization in phylogenetics - PubMed, accessed June 17, 2026, </w:t>
      </w:r>
      <w:hyperlink r:id="rId78">
        <w:r w:rsidDel="00000000" w:rsidR="00000000" w:rsidRPr="00000000">
          <w:rPr>
            <w:rFonts w:ascii="Google Sans" w:cs="Google Sans" w:eastAsia="Google Sans" w:hAnsi="Google Sans"/>
            <w:color w:val="0000ee"/>
            <w:sz w:val="24"/>
            <w:szCs w:val="24"/>
            <w:u w:val="single"/>
            <w:rtl w:val="0"/>
          </w:rPr>
          <w:t xml:space="preserve">https://pubmed.ncbi.nlm.nih.gov/30045713/</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Data Visualization Options: We Compare 5 Tools - Cambridge Intelligence, accessed June 17, 2026, </w:t>
      </w:r>
      <w:hyperlink r:id="rId79">
        <w:r w:rsidDel="00000000" w:rsidR="00000000" w:rsidRPr="00000000">
          <w:rPr>
            <w:rFonts w:ascii="Google Sans" w:cs="Google Sans" w:eastAsia="Google Sans" w:hAnsi="Google Sans"/>
            <w:color w:val="0000ee"/>
            <w:sz w:val="24"/>
            <w:szCs w:val="24"/>
            <w:u w:val="single"/>
            <w:rtl w:val="0"/>
          </w:rPr>
          <w:t xml:space="preserve">https://cambridge-intelligence.com/blog/open-source-data-visualization/</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Visualization with Cytoscape, accessed June 17, 2026, </w:t>
      </w:r>
      <w:hyperlink r:id="rId80">
        <w:r w:rsidDel="00000000" w:rsidR="00000000" w:rsidRPr="00000000">
          <w:rPr>
            <w:rFonts w:ascii="Google Sans" w:cs="Google Sans" w:eastAsia="Google Sans" w:hAnsi="Google Sans"/>
            <w:color w:val="0000ee"/>
            <w:sz w:val="24"/>
            <w:szCs w:val="24"/>
            <w:u w:val="single"/>
            <w:rtl w:val="0"/>
          </w:rPr>
          <w:t xml:space="preserve">https://cytoscape.org/cytoscape-tutorials/presentations/network-visualization.html</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Cytoscape tools for the web age: D3.js and... - F1000Research, accessed June 17, 2026, </w:t>
      </w:r>
      <w:hyperlink r:id="rId81">
        <w:r w:rsidDel="00000000" w:rsidR="00000000" w:rsidRPr="00000000">
          <w:rPr>
            <w:rFonts w:ascii="Google Sans" w:cs="Google Sans" w:eastAsia="Google Sans" w:hAnsi="Google Sans"/>
            <w:color w:val="0000ee"/>
            <w:sz w:val="24"/>
            <w:szCs w:val="24"/>
            <w:u w:val="single"/>
            <w:rtl w:val="0"/>
          </w:rPr>
          <w:t xml:space="preserve">https://f1000research.com/articles/3-143</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the tree of life - Schauderbasis, accessed June 17, 2026, </w:t>
      </w:r>
      <w:hyperlink r:id="rId82">
        <w:r w:rsidDel="00000000" w:rsidR="00000000" w:rsidRPr="00000000">
          <w:rPr>
            <w:rFonts w:ascii="Google Sans" w:cs="Google Sans" w:eastAsia="Google Sans" w:hAnsi="Google Sans"/>
            <w:color w:val="0000ee"/>
            <w:sz w:val="24"/>
            <w:szCs w:val="24"/>
            <w:u w:val="single"/>
            <w:rtl w:val="0"/>
          </w:rPr>
          <w:t xml:space="preserve">https://schauderbasis.de/posts/visualizing_the_tree_of_life/</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Halicin: A New Approach to Antibacterial Therapy, a Promising Avenue for the Post-Antibiotic Era - PMC, accessed June 17,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https://pmc.ncbi.nlm.nih.gov/articles/PMC12291912/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83" Type="http://schemas.openxmlformats.org/officeDocument/2006/relationships/hyperlink" Target="https://pmc.ncbi.nlm.nih.gov/articles/PMC12291912/" TargetMode="External"/><Relationship Id="rId42" Type="http://schemas.openxmlformats.org/officeDocument/2006/relationships/image" Target="media/image12.png"/><Relationship Id="rId41" Type="http://schemas.openxmlformats.org/officeDocument/2006/relationships/image" Target="media/image2.png"/><Relationship Id="rId44" Type="http://schemas.openxmlformats.org/officeDocument/2006/relationships/image" Target="media/image11.png"/><Relationship Id="rId43" Type="http://schemas.openxmlformats.org/officeDocument/2006/relationships/image" Target="media/image18.png"/><Relationship Id="rId46" Type="http://schemas.openxmlformats.org/officeDocument/2006/relationships/hyperlink" Target="https://pmc.ncbi.nlm.nih.gov/articles/PMC8698312/" TargetMode="External"/><Relationship Id="rId45" Type="http://schemas.openxmlformats.org/officeDocument/2006/relationships/image" Target="media/image7.png"/><Relationship Id="rId80" Type="http://schemas.openxmlformats.org/officeDocument/2006/relationships/hyperlink" Target="https://cytoscape.org/cytoscape-tutorials/presentations/network-visualization.html" TargetMode="External"/><Relationship Id="rId82" Type="http://schemas.openxmlformats.org/officeDocument/2006/relationships/hyperlink" Target="https://schauderbasis.de/posts/visualizing_the_tree_of_life/" TargetMode="External"/><Relationship Id="rId81" Type="http://schemas.openxmlformats.org/officeDocument/2006/relationships/hyperlink" Target="https://f1000research.com/articles/3-1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hyperlink" Target="https://pmc.ncbi.nlm.nih.gov/articles/PMC8349178/" TargetMode="External"/><Relationship Id="rId47" Type="http://schemas.openxmlformats.org/officeDocument/2006/relationships/hyperlink" Target="https://news.mit.edu/2023/using-ai-scientists-combat-drug-resistant-infections-0525" TargetMode="External"/><Relationship Id="rId49" Type="http://schemas.openxmlformats.org/officeDocument/2006/relationships/hyperlink" Target="https://wyss.harvard.edu/news/using-ai-researchers-identify-a-new-class-of-antibiotic-candidates/" TargetMode="Externa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34.png"/><Relationship Id="rId8" Type="http://schemas.openxmlformats.org/officeDocument/2006/relationships/image" Target="media/image23.png"/><Relationship Id="rId73" Type="http://schemas.openxmlformats.org/officeDocument/2006/relationships/hyperlink" Target="https://pubmed.ncbi.nlm.nih.gov/29391044/" TargetMode="External"/><Relationship Id="rId72" Type="http://schemas.openxmlformats.org/officeDocument/2006/relationships/hyperlink" Target="https://pmc.ncbi.nlm.nih.gov/articles/PMC11983867/" TargetMode="External"/><Relationship Id="rId31" Type="http://schemas.openxmlformats.org/officeDocument/2006/relationships/image" Target="media/image24.png"/><Relationship Id="rId75" Type="http://schemas.openxmlformats.org/officeDocument/2006/relationships/hyperlink" Target="https://pubmed.ncbi.nlm.nih.gov/31106066/" TargetMode="External"/><Relationship Id="rId30" Type="http://schemas.openxmlformats.org/officeDocument/2006/relationships/image" Target="media/image9.png"/><Relationship Id="rId74" Type="http://schemas.openxmlformats.org/officeDocument/2006/relationships/hyperlink" Target="https://www.biorxiv.org/content/10.1101/149328v1.full-text" TargetMode="External"/><Relationship Id="rId33" Type="http://schemas.openxmlformats.org/officeDocument/2006/relationships/image" Target="media/image4.png"/><Relationship Id="rId77" Type="http://schemas.openxmlformats.org/officeDocument/2006/relationships/hyperlink" Target="https://github.com/veg/phylotree.js/" TargetMode="External"/><Relationship Id="rId32" Type="http://schemas.openxmlformats.org/officeDocument/2006/relationships/image" Target="media/image6.png"/><Relationship Id="rId76" Type="http://schemas.openxmlformats.org/officeDocument/2006/relationships/hyperlink" Target="https://d-nb.info/1168003954/34" TargetMode="External"/><Relationship Id="rId35" Type="http://schemas.openxmlformats.org/officeDocument/2006/relationships/image" Target="media/image3.png"/><Relationship Id="rId79" Type="http://schemas.openxmlformats.org/officeDocument/2006/relationships/hyperlink" Target="https://cambridge-intelligence.com/blog/open-source-data-visualization/" TargetMode="External"/><Relationship Id="rId34" Type="http://schemas.openxmlformats.org/officeDocument/2006/relationships/image" Target="media/image5.png"/><Relationship Id="rId78" Type="http://schemas.openxmlformats.org/officeDocument/2006/relationships/hyperlink" Target="https://pubmed.ncbi.nlm.nih.gov/30045713/" TargetMode="External"/><Relationship Id="rId71" Type="http://schemas.openxmlformats.org/officeDocument/2006/relationships/hyperlink" Target="https://pubmed.ncbi.nlm.nih.gov/37231267/" TargetMode="External"/><Relationship Id="rId70" Type="http://schemas.openxmlformats.org/officeDocument/2006/relationships/hyperlink" Target="https://cordis.europa.eu/article/id/415392-trending-science-ai-discovers-powerful-antibiotic-to-combat-drug-resistanc" TargetMode="External"/><Relationship Id="rId37" Type="http://schemas.openxmlformats.org/officeDocument/2006/relationships/image" Target="media/image13.png"/><Relationship Id="rId36" Type="http://schemas.openxmlformats.org/officeDocument/2006/relationships/image" Target="media/image15.png"/><Relationship Id="rId39" Type="http://schemas.openxmlformats.org/officeDocument/2006/relationships/image" Target="media/image10.png"/><Relationship Id="rId38" Type="http://schemas.openxmlformats.org/officeDocument/2006/relationships/image" Target="media/image17.png"/><Relationship Id="rId62" Type="http://schemas.openxmlformats.org/officeDocument/2006/relationships/hyperlink" Target="https://academic.oup.com/nar/article/53/D1/D748/7848838" TargetMode="External"/><Relationship Id="rId61" Type="http://schemas.openxmlformats.org/officeDocument/2006/relationships/hyperlink" Target="https://www.rms.org.uk/resource/microbej.html" TargetMode="External"/><Relationship Id="rId20" Type="http://schemas.openxmlformats.org/officeDocument/2006/relationships/image" Target="media/image32.png"/><Relationship Id="rId64" Type="http://schemas.openxmlformats.org/officeDocument/2006/relationships/hyperlink" Target="https://pubmed.ncbi.nlm.nih.gov/32055708/" TargetMode="External"/><Relationship Id="rId63" Type="http://schemas.openxmlformats.org/officeDocument/2006/relationships/hyperlink" Target="https://arxiv.org/html/2411.01098v1/" TargetMode="External"/><Relationship Id="rId22" Type="http://schemas.openxmlformats.org/officeDocument/2006/relationships/image" Target="media/image36.png"/><Relationship Id="rId66" Type="http://schemas.openxmlformats.org/officeDocument/2006/relationships/hyperlink" Target="https://www.biorxiv.org/content/10.1101/2025.02.14.638231v1" TargetMode="External"/><Relationship Id="rId21" Type="http://schemas.openxmlformats.org/officeDocument/2006/relationships/image" Target="media/image40.png"/><Relationship Id="rId65" Type="http://schemas.openxmlformats.org/officeDocument/2006/relationships/hyperlink" Target="https://www.mdpi.com/2673-8023/5/4/46" TargetMode="External"/><Relationship Id="rId24" Type="http://schemas.openxmlformats.org/officeDocument/2006/relationships/image" Target="media/image39.png"/><Relationship Id="rId68" Type="http://schemas.openxmlformats.org/officeDocument/2006/relationships/hyperlink" Target="https://pmc.ncbi.nlm.nih.gov/articles/PMC7004237/" TargetMode="External"/><Relationship Id="rId23" Type="http://schemas.openxmlformats.org/officeDocument/2006/relationships/image" Target="media/image35.png"/><Relationship Id="rId67" Type="http://schemas.openxmlformats.org/officeDocument/2006/relationships/hyperlink" Target="https://arxiv.org/html/2511.17611v1" TargetMode="External"/><Relationship Id="rId60" Type="http://schemas.openxmlformats.org/officeDocument/2006/relationships/hyperlink" Target="https://pmc.ncbi.nlm.nih.gov/articles/PMC5010025/" TargetMode="External"/><Relationship Id="rId26" Type="http://schemas.openxmlformats.org/officeDocument/2006/relationships/image" Target="media/image16.png"/><Relationship Id="rId25" Type="http://schemas.openxmlformats.org/officeDocument/2006/relationships/image" Target="media/image38.png"/><Relationship Id="rId69" Type="http://schemas.openxmlformats.org/officeDocument/2006/relationships/hyperlink" Target="https://www.youtube.com/watch?v=RrsH5UKLve8" TargetMode="External"/><Relationship Id="rId28" Type="http://schemas.openxmlformats.org/officeDocument/2006/relationships/image" Target="media/image19.png"/><Relationship Id="rId27" Type="http://schemas.openxmlformats.org/officeDocument/2006/relationships/image" Target="media/image14.png"/><Relationship Id="rId29" Type="http://schemas.openxmlformats.org/officeDocument/2006/relationships/image" Target="media/image1.png"/><Relationship Id="rId51" Type="http://schemas.openxmlformats.org/officeDocument/2006/relationships/hyperlink" Target="https://card.mcmaster.ca/" TargetMode="External"/><Relationship Id="rId50" Type="http://schemas.openxmlformats.org/officeDocument/2006/relationships/hyperlink" Target="https://www.broadinstitute.org/publications/broad1338131" TargetMode="External"/><Relationship Id="rId53" Type="http://schemas.openxmlformats.org/officeDocument/2006/relationships/hyperlink" Target="https://www.bv-brc.org/docs/system_documentation/data.html" TargetMode="External"/><Relationship Id="rId52" Type="http://schemas.openxmlformats.org/officeDocument/2006/relationships/hyperlink" Target="https://www.bv-brc.org/docs/data_protocols/antimicrobial_resistance.html" TargetMode="External"/><Relationship Id="rId11" Type="http://schemas.openxmlformats.org/officeDocument/2006/relationships/image" Target="media/image37.png"/><Relationship Id="rId55" Type="http://schemas.openxmlformats.org/officeDocument/2006/relationships/hyperlink" Target="https://www.bv-brc.org/" TargetMode="External"/><Relationship Id="rId10" Type="http://schemas.openxmlformats.org/officeDocument/2006/relationships/image" Target="media/image31.png"/><Relationship Id="rId54" Type="http://schemas.openxmlformats.org/officeDocument/2006/relationships/hyperlink" Target="https://pmc.ncbi.nlm.nih.gov/articles/PMC10044311/" TargetMode="External"/><Relationship Id="rId13" Type="http://schemas.openxmlformats.org/officeDocument/2006/relationships/image" Target="media/image28.png"/><Relationship Id="rId57" Type="http://schemas.openxmlformats.org/officeDocument/2006/relationships/hyperlink" Target="https://www.mykrobe.com/" TargetMode="External"/><Relationship Id="rId12" Type="http://schemas.openxmlformats.org/officeDocument/2006/relationships/image" Target="media/image21.png"/><Relationship Id="rId56" Type="http://schemas.openxmlformats.org/officeDocument/2006/relationships/hyperlink" Target="https://www.biorxiv.org/content/10.1101/2025.01.25.634879v3.full-text" TargetMode="External"/><Relationship Id="rId15" Type="http://schemas.openxmlformats.org/officeDocument/2006/relationships/image" Target="media/image29.png"/><Relationship Id="rId59" Type="http://schemas.openxmlformats.org/officeDocument/2006/relationships/hyperlink" Target="https://elifesciences.org/reviewed-preprints/105302" TargetMode="External"/><Relationship Id="rId14" Type="http://schemas.openxmlformats.org/officeDocument/2006/relationships/image" Target="media/image33.png"/><Relationship Id="rId58" Type="http://schemas.openxmlformats.org/officeDocument/2006/relationships/hyperlink" Target="https://www.microbej.com/documentation/" TargetMode="External"/><Relationship Id="rId17" Type="http://schemas.openxmlformats.org/officeDocument/2006/relationships/image" Target="media/image25.png"/><Relationship Id="rId16" Type="http://schemas.openxmlformats.org/officeDocument/2006/relationships/image" Target="media/image20.png"/><Relationship Id="rId19" Type="http://schemas.openxmlformats.org/officeDocument/2006/relationships/image" Target="media/image2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