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FIRST-RUN VALIDATION AND REPRODUCIBILITY REPORT</w:t>
      </w:r>
    </w:p>
    <w:p>
      <w:pPr>
        <w:jc w:val="center"/>
      </w:pPr>
      <w:r>
        <w:rPr>
          <w:b/>
          <w:sz w:val="30"/>
        </w:rPr>
        <w:t>Six-Study Evidence-Composite Model: Ceftazidime–Avibactam</w:t>
      </w:r>
    </w:p>
    <w:p>
      <w:pPr>
        <w:jc w:val="center"/>
      </w:pPr>
      <w:r>
        <w:rPr>
          <w:sz w:val="20"/>
        </w:rPr>
        <w:t>Document version: 0.1 — Evidence-anchored validation shell</w:t>
        <w:br/>
        <w:t>Date: 7 July 2026</w:t>
        <w:br/>
        <w:t>Status: USER_REVIEW_REQUIRED</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rFonts w:ascii="Arial" w:hAnsi="Arial"/>
                <w:b/>
                <w:sz w:val="18"/>
              </w:rPr>
              <w:t>Active target</w:t>
            </w:r>
          </w:p>
        </w:tc>
        <w:tc>
          <w:tcPr>
            <w:tcW w:type="dxa" w:w="5112"/>
            <w:vAlign w:val="center"/>
          </w:tcPr>
          <w:p>
            <w:r/>
            <w:r>
              <w:rPr>
                <w:rFonts w:ascii="Arial" w:hAnsi="Arial"/>
                <w:b w:val="0"/>
                <w:sz w:val="18"/>
              </w:rPr>
              <w:t>Ceftazidime–avibactam</w:t>
            </w:r>
          </w:p>
        </w:tc>
      </w:tr>
      <w:tr>
        <w:tc>
          <w:tcPr>
            <w:tcW w:type="dxa" w:w="5112"/>
            <w:vAlign w:val="center"/>
            <w:shd w:fill="EAF2F8"/>
          </w:tcPr>
          <w:p>
            <w:r/>
            <w:r>
              <w:rPr>
                <w:rFonts w:ascii="Arial" w:hAnsi="Arial"/>
                <w:b/>
                <w:sz w:val="18"/>
              </w:rPr>
              <w:t>Evidence unit</w:t>
            </w:r>
          </w:p>
        </w:tc>
        <w:tc>
          <w:tcPr>
            <w:tcW w:type="dxa" w:w="5112"/>
            <w:vAlign w:val="center"/>
          </w:tcPr>
          <w:p>
            <w:r/>
            <w:r>
              <w:rPr>
                <w:rFonts w:ascii="Arial" w:hAnsi="Arial"/>
                <w:b w:val="0"/>
                <w:sz w:val="18"/>
              </w:rPr>
              <w:t>Six-study component-wise evidence composite</w:t>
            </w:r>
          </w:p>
        </w:tc>
      </w:tr>
      <w:tr>
        <w:tc>
          <w:tcPr>
            <w:tcW w:type="dxa" w:w="5112"/>
            <w:vAlign w:val="center"/>
            <w:shd w:fill="EAF2F8"/>
          </w:tcPr>
          <w:p>
            <w:r/>
            <w:r>
              <w:rPr>
                <w:rFonts w:ascii="Arial" w:hAnsi="Arial"/>
                <w:b/>
                <w:sz w:val="18"/>
              </w:rPr>
              <w:t>First simulation</w:t>
            </w:r>
          </w:p>
        </w:tc>
        <w:tc>
          <w:tcPr>
            <w:tcW w:type="dxa" w:w="5112"/>
            <w:vAlign w:val="center"/>
          </w:tcPr>
          <w:p>
            <w:r/>
            <w:r>
              <w:rPr>
                <w:rFonts w:ascii="Arial" w:hAnsi="Arial"/>
                <w:b w:val="0"/>
                <w:sz w:val="18"/>
              </w:rPr>
              <w:t>100,000 virtual subjects (reported as completed in project workflow)</w:t>
            </w:r>
          </w:p>
        </w:tc>
      </w:tr>
      <w:tr>
        <w:tc>
          <w:tcPr>
            <w:tcW w:type="dxa" w:w="5112"/>
            <w:vAlign w:val="center"/>
            <w:shd w:fill="EAF2F8"/>
          </w:tcPr>
          <w:p>
            <w:r/>
            <w:r>
              <w:rPr>
                <w:rFonts w:ascii="Arial" w:hAnsi="Arial"/>
                <w:b/>
                <w:sz w:val="18"/>
              </w:rPr>
              <w:t>Validation state</w:t>
            </w:r>
          </w:p>
        </w:tc>
        <w:tc>
          <w:tcPr>
            <w:tcW w:type="dxa" w:w="5112"/>
            <w:vAlign w:val="center"/>
          </w:tcPr>
          <w:p>
            <w:r/>
            <w:r>
              <w:rPr>
                <w:rFonts w:ascii="Arial" w:hAnsi="Arial"/>
                <w:b w:val="0"/>
                <w:sz w:val="18"/>
              </w:rPr>
              <w:t>Published anchors populated; local run-output comparison pending artifact ingestion</w:t>
            </w:r>
          </w:p>
        </w:tc>
      </w:tr>
    </w:tbl>
    <w:p>
      <w:r>
        <w:br w:type="page"/>
      </w:r>
    </w:p>
    <w:p>
      <w:pPr>
        <w:pStyle w:val="Heading1"/>
      </w:pPr>
      <w:r>
        <w:t>1. Executive decision</w:t>
      </w:r>
    </w:p>
    <w:p>
      <w:r>
        <w:t>The six-study evidence composite is scientifically suitable for continued validation, but it must not yet be declared calibrated. The evidence set contains complementary information on critically ill patients, ECMO, CVVHDF/CRRT, continuous infusion, renal-function effects, plasma and cerebrospinal-fluid disposition, component-specific PK models, joint ceftazidime–avibactam PK/PD targets, PTA, CFR, microbiological outcomes, and toxicity-oriented exposure checks.</w:t>
      </w:r>
    </w:p>
    <w:p>
      <w:r>
        <w:t>The first 100,000-subject Monte Carlo run is treated here as an executed pilot. However, its numerical outputs, random seed, input manifest, software version, and scenario identifiers were not present in the accessible source package used to generate this report. Therefore, all comparisons involving the local run remain explicitly PENDING_ARTIFACT_INGESTION. No simulated value is represented as validated or as directly reported.</w:t>
      </w:r>
    </w:p>
    <w:p>
      <w:pPr>
        <w:pStyle w:val="Heading1"/>
      </w:pPr>
      <w:r>
        <w:t>2. Provenance and review policy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6"/>
              </w:rPr>
              <w:t>Dimension</w:t>
            </w:r>
          </w:p>
        </w:tc>
        <w:tc>
          <w:tcPr>
            <w:tcW w:type="dxa" w:w="3408"/>
            <w:vAlign w:val="center"/>
            <w:shd w:fill="D9EAF7"/>
          </w:tcPr>
          <w:p>
            <w:r/>
            <w:r>
              <w:rPr>
                <w:rFonts w:ascii="Arial" w:hAnsi="Arial"/>
                <w:b/>
                <w:sz w:val="16"/>
              </w:rPr>
              <w:t>Allowed value</w:t>
            </w:r>
          </w:p>
        </w:tc>
        <w:tc>
          <w:tcPr>
            <w:tcW w:type="dxa" w:w="3408"/>
            <w:vAlign w:val="center"/>
            <w:shd w:fill="D9EAF7"/>
          </w:tcPr>
          <w:p>
            <w:r/>
            <w:r>
              <w:rPr>
                <w:rFonts w:ascii="Arial" w:hAnsi="Arial"/>
                <w:b/>
                <w:sz w:val="16"/>
              </w:rPr>
              <w:t>Application in this report</w:t>
            </w:r>
          </w:p>
        </w:tc>
      </w:tr>
      <w:tr>
        <w:tc>
          <w:tcPr>
            <w:tcW w:type="dxa" w:w="3408"/>
            <w:vAlign w:val="center"/>
          </w:tcPr>
          <w:p>
            <w:r/>
            <w:r>
              <w:rPr>
                <w:rFonts w:ascii="Arial" w:hAnsi="Arial"/>
                <w:b w:val="0"/>
                <w:sz w:val="15"/>
              </w:rPr>
              <w:t>Origin class</w:t>
            </w:r>
          </w:p>
        </w:tc>
        <w:tc>
          <w:tcPr>
            <w:tcW w:type="dxa" w:w="3408"/>
            <w:vAlign w:val="center"/>
          </w:tcPr>
          <w:p>
            <w:r/>
            <w:r>
              <w:rPr>
                <w:rFonts w:ascii="Arial" w:hAnsi="Arial"/>
                <w:b w:val="0"/>
                <w:sz w:val="15"/>
              </w:rPr>
              <w:t>REPORTED_DIRECT</w:t>
            </w:r>
          </w:p>
        </w:tc>
        <w:tc>
          <w:tcPr>
            <w:tcW w:type="dxa" w:w="3408"/>
            <w:vAlign w:val="center"/>
          </w:tcPr>
          <w:p>
            <w:r/>
            <w:r>
              <w:rPr>
                <w:rFonts w:ascii="Arial" w:hAnsi="Arial"/>
                <w:b w:val="0"/>
                <w:sz w:val="15"/>
              </w:rPr>
              <w:t>Published numerical value or explicit method.</w:t>
            </w:r>
          </w:p>
        </w:tc>
      </w:tr>
      <w:tr>
        <w:tc>
          <w:tcPr>
            <w:tcW w:type="dxa" w:w="3408"/>
            <w:vAlign w:val="center"/>
          </w:tcPr>
          <w:p>
            <w:r/>
            <w:r>
              <w:rPr>
                <w:rFonts w:ascii="Arial" w:hAnsi="Arial"/>
                <w:b w:val="0"/>
                <w:sz w:val="15"/>
              </w:rPr>
              <w:t>Origin class</w:t>
            </w:r>
          </w:p>
        </w:tc>
        <w:tc>
          <w:tcPr>
            <w:tcW w:type="dxa" w:w="3408"/>
            <w:vAlign w:val="center"/>
          </w:tcPr>
          <w:p>
            <w:r/>
            <w:r>
              <w:rPr>
                <w:rFonts w:ascii="Arial" w:hAnsi="Arial"/>
                <w:b w:val="0"/>
                <w:sz w:val="15"/>
              </w:rPr>
              <w:t>REPORTED_INHERITED</w:t>
            </w:r>
          </w:p>
        </w:tc>
        <w:tc>
          <w:tcPr>
            <w:tcW w:type="dxa" w:w="3408"/>
            <w:vAlign w:val="center"/>
          </w:tcPr>
          <w:p>
            <w:r/>
            <w:r>
              <w:rPr>
                <w:rFonts w:ascii="Arial" w:hAnsi="Arial"/>
                <w:b w:val="0"/>
                <w:sz w:val="15"/>
              </w:rPr>
              <w:t>Value explicitly carried from a cited source by an included article.</w:t>
            </w:r>
          </w:p>
        </w:tc>
      </w:tr>
      <w:tr>
        <w:tc>
          <w:tcPr>
            <w:tcW w:type="dxa" w:w="3408"/>
            <w:vAlign w:val="center"/>
          </w:tcPr>
          <w:p>
            <w:r/>
            <w:r>
              <w:rPr>
                <w:rFonts w:ascii="Arial" w:hAnsi="Arial"/>
                <w:b w:val="0"/>
                <w:sz w:val="15"/>
              </w:rPr>
              <w:t>Origin class</w:t>
            </w:r>
          </w:p>
        </w:tc>
        <w:tc>
          <w:tcPr>
            <w:tcW w:type="dxa" w:w="3408"/>
            <w:vAlign w:val="center"/>
          </w:tcPr>
          <w:p>
            <w:r/>
            <w:r>
              <w:rPr>
                <w:rFonts w:ascii="Arial" w:hAnsi="Arial"/>
                <w:b w:val="0"/>
                <w:sz w:val="15"/>
              </w:rPr>
              <w:t>DONOR_POOL</w:t>
            </w:r>
          </w:p>
        </w:tc>
        <w:tc>
          <w:tcPr>
            <w:tcW w:type="dxa" w:w="3408"/>
            <w:vAlign w:val="center"/>
          </w:tcPr>
          <w:p>
            <w:r/>
            <w:r>
              <w:rPr>
                <w:rFonts w:ascii="Arial" w:hAnsi="Arial"/>
                <w:b w:val="0"/>
                <w:sz w:val="15"/>
              </w:rPr>
              <w:t>Component borrowed from a compatible study.</w:t>
            </w:r>
          </w:p>
        </w:tc>
      </w:tr>
      <w:tr>
        <w:tc>
          <w:tcPr>
            <w:tcW w:type="dxa" w:w="3408"/>
            <w:vAlign w:val="center"/>
          </w:tcPr>
          <w:p>
            <w:r/>
            <w:r>
              <w:rPr>
                <w:rFonts w:ascii="Arial" w:hAnsi="Arial"/>
                <w:b w:val="0"/>
                <w:sz w:val="15"/>
              </w:rPr>
              <w:t>Origin class</w:t>
            </w:r>
          </w:p>
        </w:tc>
        <w:tc>
          <w:tcPr>
            <w:tcW w:type="dxa" w:w="3408"/>
            <w:vAlign w:val="center"/>
          </w:tcPr>
          <w:p>
            <w:r/>
            <w:r>
              <w:rPr>
                <w:rFonts w:ascii="Arial" w:hAnsi="Arial"/>
                <w:b w:val="0"/>
                <w:sz w:val="15"/>
              </w:rPr>
              <w:t>USER_INPUT</w:t>
            </w:r>
          </w:p>
        </w:tc>
        <w:tc>
          <w:tcPr>
            <w:tcW w:type="dxa" w:w="3408"/>
            <w:vAlign w:val="center"/>
          </w:tcPr>
          <w:p>
            <w:r/>
            <w:r>
              <w:rPr>
                <w:rFonts w:ascii="Arial" w:hAnsi="Arial"/>
                <w:b w:val="0"/>
                <w:sz w:val="15"/>
              </w:rPr>
              <w:t>User-approved configuration or scenario choice.</w:t>
            </w:r>
          </w:p>
        </w:tc>
      </w:tr>
      <w:tr>
        <w:tc>
          <w:tcPr>
            <w:tcW w:type="dxa" w:w="3408"/>
            <w:vAlign w:val="center"/>
          </w:tcPr>
          <w:p>
            <w:r/>
            <w:r>
              <w:rPr>
                <w:rFonts w:ascii="Arial" w:hAnsi="Arial"/>
                <w:b w:val="0"/>
                <w:sz w:val="15"/>
              </w:rPr>
              <w:t>Origin class</w:t>
            </w:r>
          </w:p>
        </w:tc>
        <w:tc>
          <w:tcPr>
            <w:tcW w:type="dxa" w:w="3408"/>
            <w:vAlign w:val="center"/>
          </w:tcPr>
          <w:p>
            <w:r/>
            <w:r>
              <w:rPr>
                <w:rFonts w:ascii="Arial" w:hAnsi="Arial"/>
                <w:b w:val="0"/>
                <w:sz w:val="15"/>
              </w:rPr>
              <w:t>MODEL_INFERRED</w:t>
            </w:r>
          </w:p>
        </w:tc>
        <w:tc>
          <w:tcPr>
            <w:tcW w:type="dxa" w:w="3408"/>
            <w:vAlign w:val="center"/>
          </w:tcPr>
          <w:p>
            <w:r/>
            <w:r>
              <w:rPr>
                <w:rFonts w:ascii="Arial" w:hAnsi="Arial"/>
                <w:b w:val="0"/>
                <w:sz w:val="15"/>
              </w:rPr>
              <w:t>Generated by the simulation or fitted model.</w:t>
            </w:r>
          </w:p>
        </w:tc>
      </w:tr>
      <w:tr>
        <w:tc>
          <w:tcPr>
            <w:tcW w:type="dxa" w:w="3408"/>
            <w:vAlign w:val="center"/>
          </w:tcPr>
          <w:p>
            <w:r/>
            <w:r>
              <w:rPr>
                <w:rFonts w:ascii="Arial" w:hAnsi="Arial"/>
                <w:b w:val="0"/>
                <w:sz w:val="15"/>
              </w:rPr>
              <w:t>Transformation</w:t>
            </w:r>
          </w:p>
        </w:tc>
        <w:tc>
          <w:tcPr>
            <w:tcW w:type="dxa" w:w="3408"/>
            <w:vAlign w:val="center"/>
          </w:tcPr>
          <w:p>
            <w:r/>
            <w:r>
              <w:rPr>
                <w:rFonts w:ascii="Arial" w:hAnsi="Arial"/>
                <w:b w:val="0"/>
                <w:sz w:val="15"/>
              </w:rPr>
              <w:t>NONE / UNIT_CONVERSION / PARAMETER_MAPPING / EQUATION_APPLICATION / DISTRIBUTION_FITTING / CATEGORICAL_HARMONIZATION / IMPUTATION / SCENARIO_GENERATION</w:t>
            </w:r>
          </w:p>
        </w:tc>
        <w:tc>
          <w:tcPr>
            <w:tcW w:type="dxa" w:w="3408"/>
            <w:vAlign w:val="center"/>
          </w:tcPr>
          <w:p>
            <w:r/>
            <w:r>
              <w:rPr>
                <w:rFonts w:ascii="Arial" w:hAnsi="Arial"/>
                <w:b w:val="0"/>
                <w:sz w:val="15"/>
              </w:rPr>
              <w:t>Must be recorded for every non-direct value.</w:t>
            </w:r>
          </w:p>
        </w:tc>
      </w:tr>
      <w:tr>
        <w:tc>
          <w:tcPr>
            <w:tcW w:type="dxa" w:w="3408"/>
            <w:vAlign w:val="center"/>
          </w:tcPr>
          <w:p>
            <w:r/>
            <w:r>
              <w:rPr>
                <w:rFonts w:ascii="Arial" w:hAnsi="Arial"/>
                <w:b w:val="0"/>
                <w:sz w:val="15"/>
              </w:rPr>
              <w:t>Review state</w:t>
            </w:r>
          </w:p>
        </w:tc>
        <w:tc>
          <w:tcPr>
            <w:tcW w:type="dxa" w:w="3408"/>
            <w:vAlign w:val="center"/>
          </w:tcPr>
          <w:p>
            <w:r/>
            <w:r>
              <w:rPr>
                <w:rFonts w:ascii="Arial" w:hAnsi="Arial"/>
                <w:b w:val="0"/>
                <w:sz w:val="15"/>
              </w:rPr>
              <w:t>UNREVIEWED / SYSTEM_NORMALIZED / USER_REVIEW_REQUIRED / USER_APPROVED / USER_REJECTED</w:t>
            </w:r>
          </w:p>
        </w:tc>
        <w:tc>
          <w:tcPr>
            <w:tcW w:type="dxa" w:w="3408"/>
            <w:vAlign w:val="center"/>
          </w:tcPr>
          <w:p>
            <w:r/>
            <w:r>
              <w:rPr>
                <w:rFonts w:ascii="Arial" w:hAnsi="Arial"/>
                <w:b w:val="0"/>
                <w:sz w:val="15"/>
              </w:rPr>
              <w:t>Nontrivial normalization cannot be silently approved.</w:t>
            </w:r>
          </w:p>
        </w:tc>
      </w:tr>
    </w:tbl>
    <w:p/>
    <w:p>
      <w:pPr>
        <w:pStyle w:val="Heading1"/>
      </w:pPr>
      <w:r>
        <w:t>3. Six-study evidence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6"/>
              </w:rPr>
              <w:t>ID</w:t>
            </w:r>
          </w:p>
        </w:tc>
        <w:tc>
          <w:tcPr>
            <w:tcW w:type="dxa" w:w="2556"/>
            <w:vAlign w:val="center"/>
            <w:shd w:fill="D9EAF7"/>
          </w:tcPr>
          <w:p>
            <w:r/>
            <w:r>
              <w:rPr>
                <w:rFonts w:ascii="Arial" w:hAnsi="Arial"/>
                <w:b/>
                <w:sz w:val="16"/>
              </w:rPr>
              <w:t>Source</w:t>
            </w:r>
          </w:p>
        </w:tc>
        <w:tc>
          <w:tcPr>
            <w:tcW w:type="dxa" w:w="2556"/>
            <w:vAlign w:val="center"/>
            <w:shd w:fill="D9EAF7"/>
          </w:tcPr>
          <w:p>
            <w:r/>
            <w:r>
              <w:rPr>
                <w:rFonts w:ascii="Arial" w:hAnsi="Arial"/>
                <w:b/>
                <w:sz w:val="16"/>
              </w:rPr>
              <w:t>Composite role</w:t>
            </w:r>
          </w:p>
        </w:tc>
        <w:tc>
          <w:tcPr>
            <w:tcW w:type="dxa" w:w="2556"/>
            <w:vAlign w:val="center"/>
            <w:shd w:fill="D9EAF7"/>
          </w:tcPr>
          <w:p>
            <w:r/>
            <w:r>
              <w:rPr>
                <w:rFonts w:ascii="Arial" w:hAnsi="Arial"/>
                <w:b/>
                <w:sz w:val="16"/>
              </w:rPr>
              <w:t>Usable contribution</w:t>
            </w:r>
          </w:p>
        </w:tc>
      </w:tr>
      <w:tr>
        <w:tc>
          <w:tcPr>
            <w:tcW w:type="dxa" w:w="2556"/>
            <w:vAlign w:val="center"/>
          </w:tcPr>
          <w:p>
            <w:r/>
            <w:r>
              <w:rPr>
                <w:rFonts w:ascii="Arial" w:hAnsi="Arial"/>
                <w:b w:val="0"/>
                <w:sz w:val="15"/>
              </w:rPr>
              <w:t>S1</w:t>
            </w:r>
          </w:p>
        </w:tc>
        <w:tc>
          <w:tcPr>
            <w:tcW w:type="dxa" w:w="2556"/>
            <w:vAlign w:val="center"/>
          </w:tcPr>
          <w:p>
            <w:r/>
            <w:r>
              <w:rPr>
                <w:rFonts w:ascii="Arial" w:hAnsi="Arial"/>
                <w:b w:val="0"/>
                <w:sz w:val="15"/>
              </w:rPr>
              <w:t>Cojutti et al., J Antimicrob Chemother 2024;79:2801–2808, DOI 10.1093/jac/dkae290</w:t>
            </w:r>
          </w:p>
        </w:tc>
        <w:tc>
          <w:tcPr>
            <w:tcW w:type="dxa" w:w="2556"/>
            <w:vAlign w:val="center"/>
          </w:tcPr>
          <w:p>
            <w:r/>
            <w:r>
              <w:rPr>
                <w:rFonts w:ascii="Arial" w:hAnsi="Arial"/>
                <w:b w:val="0"/>
                <w:sz w:val="15"/>
              </w:rPr>
              <w:t>Core popPK/PD + Monte Carlo</w:t>
            </w:r>
          </w:p>
        </w:tc>
        <w:tc>
          <w:tcPr>
            <w:tcW w:type="dxa" w:w="2556"/>
            <w:vAlign w:val="center"/>
          </w:tcPr>
          <w:p>
            <w:r/>
            <w:r>
              <w:rPr>
                <w:rFonts w:ascii="Arial" w:hAnsi="Arial"/>
                <w:b w:val="0"/>
                <w:sz w:val="15"/>
              </w:rPr>
              <w:t>Critically ill adults; continuous infusion; eGFR strata; EKFC clearance relationship; joint PTA/CFR; neurotoxicity-oriented ceiling.</w:t>
            </w:r>
          </w:p>
        </w:tc>
      </w:tr>
      <w:tr>
        <w:tc>
          <w:tcPr>
            <w:tcW w:type="dxa" w:w="2556"/>
            <w:vAlign w:val="center"/>
          </w:tcPr>
          <w:p>
            <w:r/>
            <w:r>
              <w:rPr>
                <w:rFonts w:ascii="Arial" w:hAnsi="Arial"/>
                <w:b w:val="0"/>
                <w:sz w:val="15"/>
              </w:rPr>
              <w:t>S2</w:t>
            </w:r>
          </w:p>
        </w:tc>
        <w:tc>
          <w:tcPr>
            <w:tcW w:type="dxa" w:w="2556"/>
            <w:vAlign w:val="center"/>
          </w:tcPr>
          <w:p>
            <w:r/>
            <w:r>
              <w:rPr>
                <w:rFonts w:ascii="Arial" w:hAnsi="Arial"/>
                <w:b w:val="0"/>
                <w:sz w:val="15"/>
              </w:rPr>
              <w:t>Gatti et al., J Crit Care 2023;76:154301, DOI 10.1016/j.jcrc.2023.154301</w:t>
            </w:r>
          </w:p>
        </w:tc>
        <w:tc>
          <w:tcPr>
            <w:tcW w:type="dxa" w:w="2556"/>
            <w:vAlign w:val="center"/>
          </w:tcPr>
          <w:p>
            <w:r/>
            <w:r>
              <w:rPr>
                <w:rFonts w:ascii="Arial" w:hAnsi="Arial"/>
                <w:b w:val="0"/>
                <w:sz w:val="15"/>
              </w:rPr>
              <w:t>CVVHDF clinical PK/PD donor</w:t>
            </w:r>
          </w:p>
        </w:tc>
        <w:tc>
          <w:tcPr>
            <w:tcW w:type="dxa" w:w="2556"/>
            <w:vAlign w:val="center"/>
          </w:tcPr>
          <w:p>
            <w:r/>
            <w:r>
              <w:rPr>
                <w:rFonts w:ascii="Arial" w:hAnsi="Arial"/>
                <w:b w:val="0"/>
                <w:sz w:val="15"/>
              </w:rPr>
              <w:t>Eight critically ill CVVHDF patients; component-specific fCss and clearance; CVVHDF intensity relationship; clinical and microbiological outcomes.</w:t>
            </w:r>
          </w:p>
        </w:tc>
      </w:tr>
      <w:tr>
        <w:tc>
          <w:tcPr>
            <w:tcW w:type="dxa" w:w="2556"/>
            <w:vAlign w:val="center"/>
          </w:tcPr>
          <w:p>
            <w:r/>
            <w:r>
              <w:rPr>
                <w:rFonts w:ascii="Arial" w:hAnsi="Arial"/>
                <w:b w:val="0"/>
                <w:sz w:val="15"/>
              </w:rPr>
              <w:t>S3</w:t>
            </w:r>
          </w:p>
        </w:tc>
        <w:tc>
          <w:tcPr>
            <w:tcW w:type="dxa" w:w="2556"/>
            <w:vAlign w:val="center"/>
          </w:tcPr>
          <w:p>
            <w:r/>
            <w:r>
              <w:rPr>
                <w:rFonts w:ascii="Arial" w:hAnsi="Arial"/>
                <w:b w:val="0"/>
                <w:sz w:val="15"/>
              </w:rPr>
              <w:t>Curtiaud et al., J Antimicrob Chemother 2024;79:1182–1186, DOI 10.1093/jac/dkae091</w:t>
            </w:r>
          </w:p>
        </w:tc>
        <w:tc>
          <w:tcPr>
            <w:tcW w:type="dxa" w:w="2556"/>
            <w:vAlign w:val="center"/>
          </w:tcPr>
          <w:p>
            <w:r/>
            <w:r>
              <w:rPr>
                <w:rFonts w:ascii="Arial" w:hAnsi="Arial"/>
                <w:b w:val="0"/>
                <w:sz w:val="15"/>
              </w:rPr>
              <w:t>ECMO external clinical anchor</w:t>
            </w:r>
          </w:p>
        </w:tc>
        <w:tc>
          <w:tcPr>
            <w:tcW w:type="dxa" w:w="2556"/>
            <w:vAlign w:val="center"/>
          </w:tcPr>
          <w:p>
            <w:r/>
            <w:r>
              <w:rPr>
                <w:rFonts w:ascii="Arial" w:hAnsi="Arial"/>
                <w:b w:val="0"/>
                <w:sz w:val="15"/>
              </w:rPr>
              <w:t>Fourteen ECMO patients; 23 trough observations; renal-clearance underexposure signal; observed joint target attainment.</w:t>
            </w:r>
          </w:p>
        </w:tc>
      </w:tr>
      <w:tr>
        <w:tc>
          <w:tcPr>
            <w:tcW w:type="dxa" w:w="2556"/>
            <w:vAlign w:val="center"/>
          </w:tcPr>
          <w:p>
            <w:r/>
            <w:r>
              <w:rPr>
                <w:rFonts w:ascii="Arial" w:hAnsi="Arial"/>
                <w:b w:val="0"/>
                <w:sz w:val="15"/>
              </w:rPr>
              <w:t>S4</w:t>
            </w:r>
          </w:p>
        </w:tc>
        <w:tc>
          <w:tcPr>
            <w:tcW w:type="dxa" w:w="2556"/>
            <w:vAlign w:val="center"/>
          </w:tcPr>
          <w:p>
            <w:r/>
            <w:r>
              <w:rPr>
                <w:rFonts w:ascii="Arial" w:hAnsi="Arial"/>
                <w:b w:val="0"/>
                <w:sz w:val="15"/>
              </w:rPr>
              <w:t>Wölfl-Duchek et al., Int J Antimicrob Agents 2025;66:107512</w:t>
            </w:r>
          </w:p>
        </w:tc>
        <w:tc>
          <w:tcPr>
            <w:tcW w:type="dxa" w:w="2556"/>
            <w:vAlign w:val="center"/>
          </w:tcPr>
          <w:p>
            <w:r/>
            <w:r>
              <w:rPr>
                <w:rFonts w:ascii="Arial" w:hAnsi="Arial"/>
                <w:b w:val="0"/>
                <w:sz w:val="15"/>
              </w:rPr>
              <w:t>Rich structural PK + tissue-site anchor</w:t>
            </w:r>
          </w:p>
        </w:tc>
        <w:tc>
          <w:tcPr>
            <w:tcW w:type="dxa" w:w="2556"/>
            <w:vAlign w:val="center"/>
          </w:tcPr>
          <w:p>
            <w:r/>
            <w:r>
              <w:rPr>
                <w:rFonts w:ascii="Arial" w:hAnsi="Arial"/>
                <w:b w:val="0"/>
                <w:sz w:val="15"/>
              </w:rPr>
              <w:t>Healthy volunteers; two-compartment plasma models for both components; CSF compartments; IIV/RUV; PTA in plasma and CSF.</w:t>
            </w:r>
          </w:p>
        </w:tc>
      </w:tr>
      <w:tr>
        <w:tc>
          <w:tcPr>
            <w:tcW w:type="dxa" w:w="2556"/>
            <w:vAlign w:val="center"/>
          </w:tcPr>
          <w:p>
            <w:r/>
            <w:r>
              <w:rPr>
                <w:rFonts w:ascii="Arial" w:hAnsi="Arial"/>
                <w:b w:val="0"/>
                <w:sz w:val="15"/>
              </w:rPr>
              <w:t>S5</w:t>
            </w:r>
          </w:p>
        </w:tc>
        <w:tc>
          <w:tcPr>
            <w:tcW w:type="dxa" w:w="2556"/>
            <w:vAlign w:val="center"/>
          </w:tcPr>
          <w:p>
            <w:r/>
            <w:r>
              <w:rPr>
                <w:rFonts w:ascii="Arial" w:hAnsi="Arial"/>
                <w:b w:val="0"/>
                <w:sz w:val="15"/>
              </w:rPr>
              <w:t>CVVHDF PK study, ScienceDirect article S0924857924003108</w:t>
            </w:r>
          </w:p>
        </w:tc>
        <w:tc>
          <w:tcPr>
            <w:tcW w:type="dxa" w:w="2556"/>
            <w:vAlign w:val="center"/>
          </w:tcPr>
          <w:p>
            <w:r/>
            <w:r>
              <w:rPr>
                <w:rFonts w:ascii="Arial" w:hAnsi="Arial"/>
                <w:b w:val="0"/>
                <w:sz w:val="15"/>
              </w:rPr>
              <w:t>Extracorporeal PK donor</w:t>
            </w:r>
          </w:p>
        </w:tc>
        <w:tc>
          <w:tcPr>
            <w:tcW w:type="dxa" w:w="2556"/>
            <w:vAlign w:val="center"/>
          </w:tcPr>
          <w:p>
            <w:r/>
            <w:r>
              <w:rPr>
                <w:rFonts w:ascii="Arial" w:hAnsi="Arial"/>
                <w:b w:val="0"/>
                <w:sz w:val="15"/>
              </w:rPr>
              <w:t>Component-specific NCA and CVVHDF removal; protein binding; small-sample supportive evidence; no standalone generalizable model.</w:t>
            </w:r>
          </w:p>
        </w:tc>
      </w:tr>
      <w:tr>
        <w:tc>
          <w:tcPr>
            <w:tcW w:type="dxa" w:w="2556"/>
            <w:vAlign w:val="center"/>
          </w:tcPr>
          <w:p>
            <w:r/>
            <w:r>
              <w:rPr>
                <w:rFonts w:ascii="Arial" w:hAnsi="Arial"/>
                <w:b w:val="0"/>
                <w:sz w:val="15"/>
              </w:rPr>
              <w:t>S6</w:t>
            </w:r>
          </w:p>
        </w:tc>
        <w:tc>
          <w:tcPr>
            <w:tcW w:type="dxa" w:w="2556"/>
            <w:vAlign w:val="center"/>
          </w:tcPr>
          <w:p>
            <w:r/>
            <w:r>
              <w:rPr>
                <w:rFonts w:ascii="Arial" w:hAnsi="Arial"/>
                <w:b w:val="0"/>
                <w:sz w:val="15"/>
              </w:rPr>
              <w:t>KPC-3 K. pneumoniae static time-kill study (PMID 40227072)</w:t>
            </w:r>
          </w:p>
        </w:tc>
        <w:tc>
          <w:tcPr>
            <w:tcW w:type="dxa" w:w="2556"/>
            <w:vAlign w:val="center"/>
          </w:tcPr>
          <w:p>
            <w:r/>
            <w:r>
              <w:rPr>
                <w:rFonts w:ascii="Arial" w:hAnsi="Arial"/>
                <w:b w:val="0"/>
                <w:sz w:val="15"/>
              </w:rPr>
              <w:t>Microbiological/PD donor</w:t>
            </w:r>
          </w:p>
        </w:tc>
        <w:tc>
          <w:tcPr>
            <w:tcW w:type="dxa" w:w="2556"/>
            <w:vAlign w:val="center"/>
          </w:tcPr>
          <w:p>
            <w:r/>
            <w:r>
              <w:rPr>
                <w:rFonts w:ascii="Arial" w:hAnsi="Arial"/>
                <w:b w:val="0"/>
                <w:sz w:val="15"/>
              </w:rPr>
              <w:t>In vitro bacterial-kill evidence; ceftazidime concentration range with avibactam fixed at 4 mg/L; inoculum-dependent response context.</w:t>
            </w:r>
          </w:p>
        </w:tc>
      </w:tr>
    </w:tbl>
    <w:p/>
    <w:p>
      <w:pPr>
        <w:pStyle w:val="Heading1"/>
      </w:pPr>
      <w:r>
        <w:t>4. Locked scientific definitions for the pilot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rial" w:hAnsi="Arial"/>
                <w:b/>
                <w:sz w:val="16"/>
              </w:rPr>
              <w:t>Item</w:t>
            </w:r>
          </w:p>
        </w:tc>
        <w:tc>
          <w:tcPr>
            <w:tcW w:type="dxa" w:w="2045"/>
            <w:vAlign w:val="center"/>
            <w:shd w:fill="D9EAF7"/>
          </w:tcPr>
          <w:p>
            <w:r/>
            <w:r>
              <w:rPr>
                <w:rFonts w:ascii="Arial" w:hAnsi="Arial"/>
                <w:b/>
                <w:sz w:val="16"/>
              </w:rPr>
              <w:t>Pilot definition</w:t>
            </w:r>
          </w:p>
        </w:tc>
        <w:tc>
          <w:tcPr>
            <w:tcW w:type="dxa" w:w="2045"/>
            <w:vAlign w:val="center"/>
            <w:shd w:fill="D9EAF7"/>
          </w:tcPr>
          <w:p>
            <w:r/>
            <w:r>
              <w:rPr>
                <w:rFonts w:ascii="Arial" w:hAnsi="Arial"/>
                <w:b/>
                <w:sz w:val="16"/>
              </w:rPr>
              <w:t>Origin</w:t>
            </w:r>
          </w:p>
        </w:tc>
        <w:tc>
          <w:tcPr>
            <w:tcW w:type="dxa" w:w="2045"/>
            <w:vAlign w:val="center"/>
            <w:shd w:fill="D9EAF7"/>
          </w:tcPr>
          <w:p>
            <w:r/>
            <w:r>
              <w:rPr>
                <w:rFonts w:ascii="Arial" w:hAnsi="Arial"/>
                <w:b/>
                <w:sz w:val="16"/>
              </w:rPr>
              <w:t>Transformation</w:t>
            </w:r>
          </w:p>
        </w:tc>
        <w:tc>
          <w:tcPr>
            <w:tcW w:type="dxa" w:w="2045"/>
            <w:vAlign w:val="center"/>
            <w:shd w:fill="D9EAF7"/>
          </w:tcPr>
          <w:p>
            <w:r/>
            <w:r>
              <w:rPr>
                <w:rFonts w:ascii="Arial" w:hAnsi="Arial"/>
                <w:b/>
                <w:sz w:val="16"/>
              </w:rPr>
              <w:t>Review</w:t>
            </w:r>
          </w:p>
        </w:tc>
      </w:tr>
      <w:tr>
        <w:tc>
          <w:tcPr>
            <w:tcW w:type="dxa" w:w="2045"/>
            <w:vAlign w:val="center"/>
          </w:tcPr>
          <w:p>
            <w:r/>
            <w:r>
              <w:rPr>
                <w:rFonts w:ascii="Arial" w:hAnsi="Arial"/>
                <w:b w:val="0"/>
                <w:sz w:val="15"/>
              </w:rPr>
              <w:t>Combination identity</w:t>
            </w:r>
          </w:p>
        </w:tc>
        <w:tc>
          <w:tcPr>
            <w:tcW w:type="dxa" w:w="2045"/>
            <w:vAlign w:val="center"/>
          </w:tcPr>
          <w:p>
            <w:r/>
            <w:r>
              <w:rPr>
                <w:rFonts w:ascii="Arial" w:hAnsi="Arial"/>
                <w:b w:val="0"/>
                <w:sz w:val="15"/>
              </w:rPr>
              <w:t>Ceftazidime and avibactam modeled as separate PK components and evaluated jointly</w:t>
            </w:r>
          </w:p>
        </w:tc>
        <w:tc>
          <w:tcPr>
            <w:tcW w:type="dxa" w:w="2045"/>
            <w:vAlign w:val="center"/>
          </w:tcPr>
          <w:p>
            <w:r/>
            <w:r>
              <w:rPr>
                <w:rFonts w:ascii="Arial" w:hAnsi="Arial"/>
                <w:b w:val="0"/>
                <w:sz w:val="15"/>
              </w:rPr>
              <w:t>REPORTED_DIRECT</w:t>
            </w:r>
          </w:p>
        </w:tc>
        <w:tc>
          <w:tcPr>
            <w:tcW w:type="dxa" w:w="2045"/>
            <w:vAlign w:val="center"/>
          </w:tcPr>
          <w:p>
            <w:r/>
            <w:r>
              <w:rPr>
                <w:rFonts w:ascii="Arial" w:hAnsi="Arial"/>
                <w:b w:val="0"/>
                <w:sz w:val="15"/>
              </w:rPr>
              <w:t>PARAMETER_MAPPING</w:t>
            </w:r>
          </w:p>
        </w:tc>
        <w:tc>
          <w:tcPr>
            <w:tcW w:type="dxa" w:w="2045"/>
            <w:vAlign w:val="center"/>
          </w:tcPr>
          <w:p>
            <w:r/>
            <w:r>
              <w:rPr>
                <w:rFonts w:ascii="Arial" w:hAnsi="Arial"/>
                <w:b w:val="0"/>
                <w:sz w:val="15"/>
              </w:rPr>
              <w:t>USER_REVIEW_REQUIRED</w:t>
            </w:r>
          </w:p>
        </w:tc>
      </w:tr>
      <w:tr>
        <w:tc>
          <w:tcPr>
            <w:tcW w:type="dxa" w:w="2045"/>
            <w:vAlign w:val="center"/>
          </w:tcPr>
          <w:p>
            <w:r/>
            <w:r>
              <w:rPr>
                <w:rFonts w:ascii="Arial" w:hAnsi="Arial"/>
                <w:b w:val="0"/>
                <w:sz w:val="15"/>
              </w:rPr>
              <w:t>Aggressive CAZ target</w:t>
            </w:r>
          </w:p>
        </w:tc>
        <w:tc>
          <w:tcPr>
            <w:tcW w:type="dxa" w:w="2045"/>
            <w:vAlign w:val="center"/>
          </w:tcPr>
          <w:p>
            <w:r/>
            <w:r>
              <w:rPr>
                <w:rFonts w:ascii="Arial" w:hAnsi="Arial"/>
                <w:b w:val="0"/>
                <w:sz w:val="15"/>
              </w:rPr>
              <w:t>fCssCAZ/MIC ≥ 4 for continuous infusion scenarios</w:t>
            </w:r>
          </w:p>
        </w:tc>
        <w:tc>
          <w:tcPr>
            <w:tcW w:type="dxa" w:w="2045"/>
            <w:vAlign w:val="center"/>
          </w:tcPr>
          <w:p>
            <w:r/>
            <w:r>
              <w:rPr>
                <w:rFonts w:ascii="Arial" w:hAnsi="Arial"/>
                <w:b w:val="0"/>
                <w:sz w:val="15"/>
              </w:rPr>
              <w:t>REPORTED_DIRECT</w:t>
            </w:r>
          </w:p>
        </w:tc>
        <w:tc>
          <w:tcPr>
            <w:tcW w:type="dxa" w:w="2045"/>
            <w:vAlign w:val="center"/>
          </w:tcPr>
          <w:p>
            <w:r/>
            <w:r>
              <w:rPr>
                <w:rFonts w:ascii="Arial" w:hAnsi="Arial"/>
                <w:b w:val="0"/>
                <w:sz w:val="15"/>
              </w:rPr>
              <w:t>NONE</w:t>
            </w:r>
          </w:p>
        </w:tc>
        <w:tc>
          <w:tcPr>
            <w:tcW w:type="dxa" w:w="2045"/>
            <w:vAlign w:val="center"/>
          </w:tcPr>
          <w:p>
            <w:r/>
            <w:r>
              <w:rPr>
                <w:rFonts w:ascii="Arial" w:hAnsi="Arial"/>
                <w:b w:val="0"/>
                <w:sz w:val="15"/>
              </w:rPr>
              <w:t>USER_REVIEW_REQUIRED</w:t>
            </w:r>
          </w:p>
        </w:tc>
      </w:tr>
      <w:tr>
        <w:tc>
          <w:tcPr>
            <w:tcW w:type="dxa" w:w="2045"/>
            <w:vAlign w:val="center"/>
          </w:tcPr>
          <w:p>
            <w:r/>
            <w:r>
              <w:rPr>
                <w:rFonts w:ascii="Arial" w:hAnsi="Arial"/>
                <w:b w:val="0"/>
                <w:sz w:val="15"/>
              </w:rPr>
              <w:t>AVI target</w:t>
            </w:r>
          </w:p>
        </w:tc>
        <w:tc>
          <w:tcPr>
            <w:tcW w:type="dxa" w:w="2045"/>
            <w:vAlign w:val="center"/>
          </w:tcPr>
          <w:p>
            <w:r/>
            <w:r>
              <w:rPr>
                <w:rFonts w:ascii="Arial" w:hAnsi="Arial"/>
                <w:b w:val="0"/>
                <w:sz w:val="15"/>
              </w:rPr>
              <w:t>fCssAVI/CT ≥ 1, with CT = 4 mg/L for the aggressive CI framework</w:t>
            </w:r>
          </w:p>
        </w:tc>
        <w:tc>
          <w:tcPr>
            <w:tcW w:type="dxa" w:w="2045"/>
            <w:vAlign w:val="center"/>
          </w:tcPr>
          <w:p>
            <w:r/>
            <w:r>
              <w:rPr>
                <w:rFonts w:ascii="Arial" w:hAnsi="Arial"/>
                <w:b w:val="0"/>
                <w:sz w:val="15"/>
              </w:rPr>
              <w:t>REPORTED_DIRECT</w:t>
            </w:r>
          </w:p>
        </w:tc>
        <w:tc>
          <w:tcPr>
            <w:tcW w:type="dxa" w:w="2045"/>
            <w:vAlign w:val="center"/>
          </w:tcPr>
          <w:p>
            <w:r/>
            <w:r>
              <w:rPr>
                <w:rFonts w:ascii="Arial" w:hAnsi="Arial"/>
                <w:b w:val="0"/>
                <w:sz w:val="15"/>
              </w:rPr>
              <w:t>NONE</w:t>
            </w:r>
          </w:p>
        </w:tc>
        <w:tc>
          <w:tcPr>
            <w:tcW w:type="dxa" w:w="2045"/>
            <w:vAlign w:val="center"/>
          </w:tcPr>
          <w:p>
            <w:r/>
            <w:r>
              <w:rPr>
                <w:rFonts w:ascii="Arial" w:hAnsi="Arial"/>
                <w:b w:val="0"/>
                <w:sz w:val="15"/>
              </w:rPr>
              <w:t>USER_REVIEW_REQUIRED</w:t>
            </w:r>
          </w:p>
        </w:tc>
      </w:tr>
      <w:tr>
        <w:tc>
          <w:tcPr>
            <w:tcW w:type="dxa" w:w="2045"/>
            <w:vAlign w:val="center"/>
          </w:tcPr>
          <w:p>
            <w:r/>
            <w:r>
              <w:rPr>
                <w:rFonts w:ascii="Arial" w:hAnsi="Arial"/>
                <w:b w:val="0"/>
                <w:sz w:val="15"/>
              </w:rPr>
              <w:t>Joint status</w:t>
            </w:r>
          </w:p>
        </w:tc>
        <w:tc>
          <w:tcPr>
            <w:tcW w:type="dxa" w:w="2045"/>
            <w:vAlign w:val="center"/>
          </w:tcPr>
          <w:p>
            <w:r/>
            <w:r>
              <w:rPr>
                <w:rFonts w:ascii="Arial" w:hAnsi="Arial"/>
                <w:b w:val="0"/>
                <w:sz w:val="15"/>
              </w:rPr>
              <w:t>Optimal if both targets attained; quasi-optimal if one; suboptimal if neither</w:t>
            </w:r>
          </w:p>
        </w:tc>
        <w:tc>
          <w:tcPr>
            <w:tcW w:type="dxa" w:w="2045"/>
            <w:vAlign w:val="center"/>
          </w:tcPr>
          <w:p>
            <w:r/>
            <w:r>
              <w:rPr>
                <w:rFonts w:ascii="Arial" w:hAnsi="Arial"/>
                <w:b w:val="0"/>
                <w:sz w:val="15"/>
              </w:rPr>
              <w:t>REPORTED_DIRECT</w:t>
            </w:r>
          </w:p>
        </w:tc>
        <w:tc>
          <w:tcPr>
            <w:tcW w:type="dxa" w:w="2045"/>
            <w:vAlign w:val="center"/>
          </w:tcPr>
          <w:p>
            <w:r/>
            <w:r>
              <w:rPr>
                <w:rFonts w:ascii="Arial" w:hAnsi="Arial"/>
                <w:b w:val="0"/>
                <w:sz w:val="15"/>
              </w:rPr>
              <w:t>CATEGORICAL_HARMONIZATION</w:t>
            </w:r>
          </w:p>
        </w:tc>
        <w:tc>
          <w:tcPr>
            <w:tcW w:type="dxa" w:w="2045"/>
            <w:vAlign w:val="center"/>
          </w:tcPr>
          <w:p>
            <w:r/>
            <w:r>
              <w:rPr>
                <w:rFonts w:ascii="Arial" w:hAnsi="Arial"/>
                <w:b w:val="0"/>
                <w:sz w:val="15"/>
              </w:rPr>
              <w:t>USER_REVIEW_REQUIRED</w:t>
            </w:r>
          </w:p>
        </w:tc>
      </w:tr>
      <w:tr>
        <w:tc>
          <w:tcPr>
            <w:tcW w:type="dxa" w:w="2045"/>
            <w:vAlign w:val="center"/>
          </w:tcPr>
          <w:p>
            <w:r/>
            <w:r>
              <w:rPr>
                <w:rFonts w:ascii="Arial" w:hAnsi="Arial"/>
                <w:b w:val="0"/>
                <w:sz w:val="15"/>
              </w:rPr>
              <w:t>Susceptibility context</w:t>
            </w:r>
          </w:p>
        </w:tc>
        <w:tc>
          <w:tcPr>
            <w:tcW w:type="dxa" w:w="2045"/>
            <w:vAlign w:val="center"/>
          </w:tcPr>
          <w:p>
            <w:r/>
            <w:r>
              <w:rPr>
                <w:rFonts w:ascii="Arial" w:hAnsi="Arial"/>
                <w:b w:val="0"/>
                <w:sz w:val="15"/>
              </w:rPr>
              <w:t>CAZ–AVI breakpoint context up to 8 mg/L; exact version must be scenario-tagged</w:t>
            </w:r>
          </w:p>
        </w:tc>
        <w:tc>
          <w:tcPr>
            <w:tcW w:type="dxa" w:w="2045"/>
            <w:vAlign w:val="center"/>
          </w:tcPr>
          <w:p>
            <w:r/>
            <w:r>
              <w:rPr>
                <w:rFonts w:ascii="Arial" w:hAnsi="Arial"/>
                <w:b w:val="0"/>
                <w:sz w:val="15"/>
              </w:rPr>
              <w:t>REPORTED_DIRECT</w:t>
            </w:r>
          </w:p>
        </w:tc>
        <w:tc>
          <w:tcPr>
            <w:tcW w:type="dxa" w:w="2045"/>
            <w:vAlign w:val="center"/>
          </w:tcPr>
          <w:p>
            <w:r/>
            <w:r>
              <w:rPr>
                <w:rFonts w:ascii="Arial" w:hAnsi="Arial"/>
                <w:b w:val="0"/>
                <w:sz w:val="15"/>
              </w:rPr>
              <w:t>NONE</w:t>
            </w:r>
          </w:p>
        </w:tc>
        <w:tc>
          <w:tcPr>
            <w:tcW w:type="dxa" w:w="2045"/>
            <w:vAlign w:val="center"/>
          </w:tcPr>
          <w:p>
            <w:r/>
            <w:r>
              <w:rPr>
                <w:rFonts w:ascii="Arial" w:hAnsi="Arial"/>
                <w:b w:val="0"/>
                <w:sz w:val="15"/>
              </w:rPr>
              <w:t>USER_REVIEW_REQUIRED</w:t>
            </w:r>
          </w:p>
        </w:tc>
      </w:tr>
      <w:tr>
        <w:tc>
          <w:tcPr>
            <w:tcW w:type="dxa" w:w="2045"/>
            <w:vAlign w:val="center"/>
          </w:tcPr>
          <w:p>
            <w:r/>
            <w:r>
              <w:rPr>
                <w:rFonts w:ascii="Arial" w:hAnsi="Arial"/>
                <w:b w:val="0"/>
                <w:sz w:val="15"/>
              </w:rPr>
              <w:t>Concentration policy</w:t>
            </w:r>
          </w:p>
        </w:tc>
        <w:tc>
          <w:tcPr>
            <w:tcW w:type="dxa" w:w="2045"/>
            <w:vAlign w:val="center"/>
          </w:tcPr>
          <w:p>
            <w:r/>
            <w:r>
              <w:rPr>
                <w:rFonts w:ascii="Arial" w:hAnsi="Arial"/>
                <w:b w:val="0"/>
                <w:sz w:val="15"/>
              </w:rPr>
              <w:t>Free concentrations derived from total using study-specific or scenario-specific unbound fractions</w:t>
            </w:r>
          </w:p>
        </w:tc>
        <w:tc>
          <w:tcPr>
            <w:tcW w:type="dxa" w:w="2045"/>
            <w:vAlign w:val="center"/>
          </w:tcPr>
          <w:p>
            <w:r/>
            <w:r>
              <w:rPr>
                <w:rFonts w:ascii="Arial" w:hAnsi="Arial"/>
                <w:b w:val="0"/>
                <w:sz w:val="15"/>
              </w:rPr>
              <w:t>DONOR_POOL</w:t>
            </w:r>
          </w:p>
        </w:tc>
        <w:tc>
          <w:tcPr>
            <w:tcW w:type="dxa" w:w="2045"/>
            <w:vAlign w:val="center"/>
          </w:tcPr>
          <w:p>
            <w:r/>
            <w:r>
              <w:rPr>
                <w:rFonts w:ascii="Arial" w:hAnsi="Arial"/>
                <w:b w:val="0"/>
                <w:sz w:val="15"/>
              </w:rPr>
              <w:t>EQUATION_APPLICATION</w:t>
            </w:r>
          </w:p>
        </w:tc>
        <w:tc>
          <w:tcPr>
            <w:tcW w:type="dxa" w:w="2045"/>
            <w:vAlign w:val="center"/>
          </w:tcPr>
          <w:p>
            <w:r/>
            <w:r>
              <w:rPr>
                <w:rFonts w:ascii="Arial" w:hAnsi="Arial"/>
                <w:b w:val="0"/>
                <w:sz w:val="15"/>
              </w:rPr>
              <w:t>USER_REVIEW_REQUIRED</w:t>
            </w:r>
          </w:p>
        </w:tc>
      </w:tr>
      <w:tr>
        <w:tc>
          <w:tcPr>
            <w:tcW w:type="dxa" w:w="2045"/>
            <w:vAlign w:val="center"/>
          </w:tcPr>
          <w:p>
            <w:r/>
            <w:r>
              <w:rPr>
                <w:rFonts w:ascii="Arial" w:hAnsi="Arial"/>
                <w:b w:val="0"/>
                <w:sz w:val="15"/>
              </w:rPr>
              <w:t>Simulation population</w:t>
            </w:r>
          </w:p>
        </w:tc>
        <w:tc>
          <w:tcPr>
            <w:tcW w:type="dxa" w:w="2045"/>
            <w:vAlign w:val="center"/>
          </w:tcPr>
          <w:p>
            <w:r/>
            <w:r>
              <w:rPr>
                <w:rFonts w:ascii="Arial" w:hAnsi="Arial"/>
                <w:b w:val="0"/>
                <w:sz w:val="15"/>
              </w:rPr>
              <w:t>100,000 virtual subjects</w:t>
            </w:r>
          </w:p>
        </w:tc>
        <w:tc>
          <w:tcPr>
            <w:tcW w:type="dxa" w:w="2045"/>
            <w:vAlign w:val="center"/>
          </w:tcPr>
          <w:p>
            <w:r/>
            <w:r>
              <w:rPr>
                <w:rFonts w:ascii="Arial" w:hAnsi="Arial"/>
                <w:b w:val="0"/>
                <w:sz w:val="15"/>
              </w:rPr>
              <w:t>USER_INPUT</w:t>
            </w:r>
          </w:p>
        </w:tc>
        <w:tc>
          <w:tcPr>
            <w:tcW w:type="dxa" w:w="2045"/>
            <w:vAlign w:val="center"/>
          </w:tcPr>
          <w:p>
            <w:r/>
            <w:r>
              <w:rPr>
                <w:rFonts w:ascii="Arial" w:hAnsi="Arial"/>
                <w:b w:val="0"/>
                <w:sz w:val="15"/>
              </w:rPr>
              <w:t>SCENARIO_GENERATION</w:t>
            </w:r>
          </w:p>
        </w:tc>
        <w:tc>
          <w:tcPr>
            <w:tcW w:type="dxa" w:w="2045"/>
            <w:vAlign w:val="center"/>
          </w:tcPr>
          <w:p>
            <w:r/>
            <w:r>
              <w:rPr>
                <w:rFonts w:ascii="Arial" w:hAnsi="Arial"/>
                <w:b w:val="0"/>
                <w:sz w:val="15"/>
              </w:rPr>
              <w:t>USER_REVIEW_REQUIRED</w:t>
            </w:r>
          </w:p>
        </w:tc>
      </w:tr>
    </w:tbl>
    <w:p/>
    <w:p>
      <w:pPr>
        <w:pStyle w:val="Heading1"/>
      </w:pPr>
      <w:r>
        <w:t>5. Published validation anchors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rial" w:hAnsi="Arial"/>
                <w:b/>
                <w:sz w:val="16"/>
              </w:rPr>
              <w:t>Anchor</w:t>
            </w:r>
          </w:p>
        </w:tc>
        <w:tc>
          <w:tcPr>
            <w:tcW w:type="dxa" w:w="2045"/>
            <w:vAlign w:val="center"/>
            <w:shd w:fill="D9EAF7"/>
          </w:tcPr>
          <w:p>
            <w:r/>
            <w:r>
              <w:rPr>
                <w:rFonts w:ascii="Arial" w:hAnsi="Arial"/>
                <w:b/>
                <w:sz w:val="16"/>
              </w:rPr>
              <w:t>Metric</w:t>
            </w:r>
          </w:p>
        </w:tc>
        <w:tc>
          <w:tcPr>
            <w:tcW w:type="dxa" w:w="2045"/>
            <w:vAlign w:val="center"/>
            <w:shd w:fill="D9EAF7"/>
          </w:tcPr>
          <w:p>
            <w:r/>
            <w:r>
              <w:rPr>
                <w:rFonts w:ascii="Arial" w:hAnsi="Arial"/>
                <w:b/>
                <w:sz w:val="16"/>
              </w:rPr>
              <w:t>Published value</w:t>
            </w:r>
          </w:p>
        </w:tc>
        <w:tc>
          <w:tcPr>
            <w:tcW w:type="dxa" w:w="2045"/>
            <w:vAlign w:val="center"/>
            <w:shd w:fill="D9EAF7"/>
          </w:tcPr>
          <w:p>
            <w:r/>
            <w:r>
              <w:rPr>
                <w:rFonts w:ascii="Arial" w:hAnsi="Arial"/>
                <w:b/>
                <w:sz w:val="16"/>
              </w:rPr>
              <w:t>Source</w:t>
            </w:r>
          </w:p>
        </w:tc>
        <w:tc>
          <w:tcPr>
            <w:tcW w:type="dxa" w:w="2045"/>
            <w:vAlign w:val="center"/>
            <w:shd w:fill="D9EAF7"/>
          </w:tcPr>
          <w:p>
            <w:r/>
            <w:r>
              <w:rPr>
                <w:rFonts w:ascii="Arial" w:hAnsi="Arial"/>
                <w:b/>
                <w:sz w:val="16"/>
              </w:rPr>
              <w:t>Interpretation</w:t>
            </w:r>
          </w:p>
        </w:tc>
      </w:tr>
      <w:tr>
        <w:tc>
          <w:tcPr>
            <w:tcW w:type="dxa" w:w="2045"/>
            <w:vAlign w:val="center"/>
          </w:tcPr>
          <w:p>
            <w:r/>
            <w:r>
              <w:rPr>
                <w:rFonts w:ascii="Arial" w:hAnsi="Arial"/>
                <w:b w:val="0"/>
                <w:sz w:val="15"/>
              </w:rPr>
              <w:t>A1</w:t>
            </w:r>
          </w:p>
        </w:tc>
        <w:tc>
          <w:tcPr>
            <w:tcW w:type="dxa" w:w="2045"/>
            <w:vAlign w:val="center"/>
          </w:tcPr>
          <w:p>
            <w:r/>
            <w:r>
              <w:rPr>
                <w:rFonts w:ascii="Arial" w:hAnsi="Arial"/>
                <w:b w:val="0"/>
                <w:sz w:val="15"/>
              </w:rPr>
              <w:t>ECMO observed CAZ trough &gt;8 mg/L</w:t>
            </w:r>
          </w:p>
        </w:tc>
        <w:tc>
          <w:tcPr>
            <w:tcW w:type="dxa" w:w="2045"/>
            <w:vAlign w:val="center"/>
          </w:tcPr>
          <w:p>
            <w:r/>
            <w:r>
              <w:rPr>
                <w:rFonts w:ascii="Arial" w:hAnsi="Arial"/>
                <w:b w:val="0"/>
                <w:sz w:val="15"/>
              </w:rPr>
              <w:t>22/23 (96%)</w:t>
            </w:r>
          </w:p>
        </w:tc>
        <w:tc>
          <w:tcPr>
            <w:tcW w:type="dxa" w:w="2045"/>
            <w:vAlign w:val="center"/>
          </w:tcPr>
          <w:p>
            <w:r/>
            <w:r>
              <w:rPr>
                <w:rFonts w:ascii="Arial" w:hAnsi="Arial"/>
                <w:b w:val="0"/>
                <w:sz w:val="15"/>
              </w:rPr>
              <w:t>Curtiaud 2024</w:t>
            </w:r>
          </w:p>
        </w:tc>
        <w:tc>
          <w:tcPr>
            <w:tcW w:type="dxa" w:w="2045"/>
            <w:vAlign w:val="center"/>
          </w:tcPr>
          <w:p>
            <w:r/>
            <w:r>
              <w:rPr>
                <w:rFonts w:ascii="Arial" w:hAnsi="Arial"/>
                <w:b w:val="0"/>
                <w:sz w:val="15"/>
              </w:rPr>
              <w:t>Observed proportion; not PTA</w:t>
            </w:r>
          </w:p>
        </w:tc>
      </w:tr>
      <w:tr>
        <w:tc>
          <w:tcPr>
            <w:tcW w:type="dxa" w:w="2045"/>
            <w:vAlign w:val="center"/>
          </w:tcPr>
          <w:p>
            <w:r/>
            <w:r>
              <w:rPr>
                <w:rFonts w:ascii="Arial" w:hAnsi="Arial"/>
                <w:b w:val="0"/>
                <w:sz w:val="15"/>
              </w:rPr>
              <w:t>A2</w:t>
            </w:r>
          </w:p>
        </w:tc>
        <w:tc>
          <w:tcPr>
            <w:tcW w:type="dxa" w:w="2045"/>
            <w:vAlign w:val="center"/>
          </w:tcPr>
          <w:p>
            <w:r/>
            <w:r>
              <w:rPr>
                <w:rFonts w:ascii="Arial" w:hAnsi="Arial"/>
                <w:b w:val="0"/>
                <w:sz w:val="15"/>
              </w:rPr>
              <w:t>ECMO observed AVI trough &gt;4 mg/L</w:t>
            </w:r>
          </w:p>
        </w:tc>
        <w:tc>
          <w:tcPr>
            <w:tcW w:type="dxa" w:w="2045"/>
            <w:vAlign w:val="center"/>
          </w:tcPr>
          <w:p>
            <w:r/>
            <w:r>
              <w:rPr>
                <w:rFonts w:ascii="Arial" w:hAnsi="Arial"/>
                <w:b w:val="0"/>
                <w:sz w:val="15"/>
              </w:rPr>
              <w:t>14/23 (61%)</w:t>
            </w:r>
          </w:p>
        </w:tc>
        <w:tc>
          <w:tcPr>
            <w:tcW w:type="dxa" w:w="2045"/>
            <w:vAlign w:val="center"/>
          </w:tcPr>
          <w:p>
            <w:r/>
            <w:r>
              <w:rPr>
                <w:rFonts w:ascii="Arial" w:hAnsi="Arial"/>
                <w:b w:val="0"/>
                <w:sz w:val="15"/>
              </w:rPr>
              <w:t>Curtiaud 2024</w:t>
            </w:r>
          </w:p>
        </w:tc>
        <w:tc>
          <w:tcPr>
            <w:tcW w:type="dxa" w:w="2045"/>
            <w:vAlign w:val="center"/>
          </w:tcPr>
          <w:p>
            <w:r/>
            <w:r>
              <w:rPr>
                <w:rFonts w:ascii="Arial" w:hAnsi="Arial"/>
                <w:b w:val="0"/>
                <w:sz w:val="15"/>
              </w:rPr>
              <w:t>Observed proportion; not PTA</w:t>
            </w:r>
          </w:p>
        </w:tc>
      </w:tr>
      <w:tr>
        <w:tc>
          <w:tcPr>
            <w:tcW w:type="dxa" w:w="2045"/>
            <w:vAlign w:val="center"/>
          </w:tcPr>
          <w:p>
            <w:r/>
            <w:r>
              <w:rPr>
                <w:rFonts w:ascii="Arial" w:hAnsi="Arial"/>
                <w:b w:val="0"/>
                <w:sz w:val="15"/>
              </w:rPr>
              <w:t>A3</w:t>
            </w:r>
          </w:p>
        </w:tc>
        <w:tc>
          <w:tcPr>
            <w:tcW w:type="dxa" w:w="2045"/>
            <w:vAlign w:val="center"/>
          </w:tcPr>
          <w:p>
            <w:r/>
            <w:r>
              <w:rPr>
                <w:rFonts w:ascii="Arial" w:hAnsi="Arial"/>
                <w:b w:val="0"/>
                <w:sz w:val="15"/>
              </w:rPr>
              <w:t>ECMO observed joint target attained</w:t>
            </w:r>
          </w:p>
        </w:tc>
        <w:tc>
          <w:tcPr>
            <w:tcW w:type="dxa" w:w="2045"/>
            <w:vAlign w:val="center"/>
          </w:tcPr>
          <w:p>
            <w:r/>
            <w:r>
              <w:rPr>
                <w:rFonts w:ascii="Arial" w:hAnsi="Arial"/>
                <w:b w:val="0"/>
                <w:sz w:val="15"/>
              </w:rPr>
              <w:t>14/23 (61%)</w:t>
            </w:r>
          </w:p>
        </w:tc>
        <w:tc>
          <w:tcPr>
            <w:tcW w:type="dxa" w:w="2045"/>
            <w:vAlign w:val="center"/>
          </w:tcPr>
          <w:p>
            <w:r/>
            <w:r>
              <w:rPr>
                <w:rFonts w:ascii="Arial" w:hAnsi="Arial"/>
                <w:b w:val="0"/>
                <w:sz w:val="15"/>
              </w:rPr>
              <w:t>Curtiaud 2024</w:t>
            </w:r>
          </w:p>
        </w:tc>
        <w:tc>
          <w:tcPr>
            <w:tcW w:type="dxa" w:w="2045"/>
            <w:vAlign w:val="center"/>
          </w:tcPr>
          <w:p>
            <w:r/>
            <w:r>
              <w:rPr>
                <w:rFonts w:ascii="Arial" w:hAnsi="Arial"/>
                <w:b w:val="0"/>
                <w:sz w:val="15"/>
              </w:rPr>
              <w:t>Derived from the reported nine failures</w:t>
            </w:r>
          </w:p>
        </w:tc>
      </w:tr>
      <w:tr>
        <w:tc>
          <w:tcPr>
            <w:tcW w:type="dxa" w:w="2045"/>
            <w:vAlign w:val="center"/>
          </w:tcPr>
          <w:p>
            <w:r/>
            <w:r>
              <w:rPr>
                <w:rFonts w:ascii="Arial" w:hAnsi="Arial"/>
                <w:b w:val="0"/>
                <w:sz w:val="15"/>
              </w:rPr>
              <w:t>A4</w:t>
            </w:r>
          </w:p>
        </w:tc>
        <w:tc>
          <w:tcPr>
            <w:tcW w:type="dxa" w:w="2045"/>
            <w:vAlign w:val="center"/>
          </w:tcPr>
          <w:p>
            <w:r/>
            <w:r>
              <w:rPr>
                <w:rFonts w:ascii="Arial" w:hAnsi="Arial"/>
                <w:b w:val="0"/>
                <w:sz w:val="15"/>
              </w:rPr>
              <w:t>CVVHDF median fCss CAZ</w:t>
            </w:r>
          </w:p>
        </w:tc>
        <w:tc>
          <w:tcPr>
            <w:tcW w:type="dxa" w:w="2045"/>
            <w:vAlign w:val="center"/>
          </w:tcPr>
          <w:p>
            <w:r/>
            <w:r>
              <w:rPr>
                <w:rFonts w:ascii="Arial" w:hAnsi="Arial"/>
                <w:b w:val="0"/>
                <w:sz w:val="15"/>
              </w:rPr>
              <w:t>84.5 mg/L (IQR 73.7–87.7)</w:t>
            </w:r>
          </w:p>
        </w:tc>
        <w:tc>
          <w:tcPr>
            <w:tcW w:type="dxa" w:w="2045"/>
            <w:vAlign w:val="center"/>
          </w:tcPr>
          <w:p>
            <w:r/>
            <w:r>
              <w:rPr>
                <w:rFonts w:ascii="Arial" w:hAnsi="Arial"/>
                <w:b w:val="0"/>
                <w:sz w:val="15"/>
              </w:rPr>
              <w:t>Gatti 2023</w:t>
            </w:r>
          </w:p>
        </w:tc>
        <w:tc>
          <w:tcPr>
            <w:tcW w:type="dxa" w:w="2045"/>
            <w:vAlign w:val="center"/>
          </w:tcPr>
          <w:p>
            <w:r/>
            <w:r>
              <w:rPr>
                <w:rFonts w:ascii="Arial" w:hAnsi="Arial"/>
                <w:b w:val="0"/>
                <w:sz w:val="15"/>
              </w:rPr>
              <w:t>Calculated free concentration</w:t>
            </w:r>
          </w:p>
        </w:tc>
      </w:tr>
      <w:tr>
        <w:tc>
          <w:tcPr>
            <w:tcW w:type="dxa" w:w="2045"/>
            <w:vAlign w:val="center"/>
          </w:tcPr>
          <w:p>
            <w:r/>
            <w:r>
              <w:rPr>
                <w:rFonts w:ascii="Arial" w:hAnsi="Arial"/>
                <w:b w:val="0"/>
                <w:sz w:val="15"/>
              </w:rPr>
              <w:t>A5</w:t>
            </w:r>
          </w:p>
        </w:tc>
        <w:tc>
          <w:tcPr>
            <w:tcW w:type="dxa" w:w="2045"/>
            <w:vAlign w:val="center"/>
          </w:tcPr>
          <w:p>
            <w:r/>
            <w:r>
              <w:rPr>
                <w:rFonts w:ascii="Arial" w:hAnsi="Arial"/>
                <w:b w:val="0"/>
                <w:sz w:val="15"/>
              </w:rPr>
              <w:t>CVVHDF median fCss AVI</w:t>
            </w:r>
          </w:p>
        </w:tc>
        <w:tc>
          <w:tcPr>
            <w:tcW w:type="dxa" w:w="2045"/>
            <w:vAlign w:val="center"/>
          </w:tcPr>
          <w:p>
            <w:r/>
            <w:r>
              <w:rPr>
                <w:rFonts w:ascii="Arial" w:hAnsi="Arial"/>
                <w:b w:val="0"/>
                <w:sz w:val="15"/>
              </w:rPr>
              <w:t>24.8 mg/L (IQR 20.7–25.8)</w:t>
            </w:r>
          </w:p>
        </w:tc>
        <w:tc>
          <w:tcPr>
            <w:tcW w:type="dxa" w:w="2045"/>
            <w:vAlign w:val="center"/>
          </w:tcPr>
          <w:p>
            <w:r/>
            <w:r>
              <w:rPr>
                <w:rFonts w:ascii="Arial" w:hAnsi="Arial"/>
                <w:b w:val="0"/>
                <w:sz w:val="15"/>
              </w:rPr>
              <w:t>Gatti 2023</w:t>
            </w:r>
          </w:p>
        </w:tc>
        <w:tc>
          <w:tcPr>
            <w:tcW w:type="dxa" w:w="2045"/>
            <w:vAlign w:val="center"/>
          </w:tcPr>
          <w:p>
            <w:r/>
            <w:r>
              <w:rPr>
                <w:rFonts w:ascii="Arial" w:hAnsi="Arial"/>
                <w:b w:val="0"/>
                <w:sz w:val="15"/>
              </w:rPr>
              <w:t>Calculated free concentration</w:t>
            </w:r>
          </w:p>
        </w:tc>
      </w:tr>
      <w:tr>
        <w:tc>
          <w:tcPr>
            <w:tcW w:type="dxa" w:w="2045"/>
            <w:vAlign w:val="center"/>
          </w:tcPr>
          <w:p>
            <w:r/>
            <w:r>
              <w:rPr>
                <w:rFonts w:ascii="Arial" w:hAnsi="Arial"/>
                <w:b w:val="0"/>
                <w:sz w:val="15"/>
              </w:rPr>
              <w:t>A6</w:t>
            </w:r>
          </w:p>
        </w:tc>
        <w:tc>
          <w:tcPr>
            <w:tcW w:type="dxa" w:w="2045"/>
            <w:vAlign w:val="center"/>
          </w:tcPr>
          <w:p>
            <w:r/>
            <w:r>
              <w:rPr>
                <w:rFonts w:ascii="Arial" w:hAnsi="Arial"/>
                <w:b w:val="0"/>
                <w:sz w:val="15"/>
              </w:rPr>
              <w:t>CVVHDF median total CL CAZ</w:t>
            </w:r>
          </w:p>
        </w:tc>
        <w:tc>
          <w:tcPr>
            <w:tcW w:type="dxa" w:w="2045"/>
            <w:vAlign w:val="center"/>
          </w:tcPr>
          <w:p>
            <w:r/>
            <w:r>
              <w:rPr>
                <w:rFonts w:ascii="Arial" w:hAnsi="Arial"/>
                <w:b w:val="0"/>
                <w:sz w:val="15"/>
              </w:rPr>
              <w:t>2.39 L/h (body text IQR 2.05–2.94)</w:t>
            </w:r>
          </w:p>
        </w:tc>
        <w:tc>
          <w:tcPr>
            <w:tcW w:type="dxa" w:w="2045"/>
            <w:vAlign w:val="center"/>
          </w:tcPr>
          <w:p>
            <w:r/>
            <w:r>
              <w:rPr>
                <w:rFonts w:ascii="Arial" w:hAnsi="Arial"/>
                <w:b w:val="0"/>
                <w:sz w:val="15"/>
              </w:rPr>
              <w:t>Gatti 2023</w:t>
            </w:r>
          </w:p>
        </w:tc>
        <w:tc>
          <w:tcPr>
            <w:tcW w:type="dxa" w:w="2045"/>
            <w:vAlign w:val="center"/>
          </w:tcPr>
          <w:p>
            <w:r/>
            <w:r>
              <w:rPr>
                <w:rFonts w:ascii="Arial" w:hAnsi="Arial"/>
                <w:b w:val="0"/>
                <w:sz w:val="15"/>
              </w:rPr>
              <w:t>Abstract/body discrepancy retained</w:t>
            </w:r>
          </w:p>
        </w:tc>
      </w:tr>
      <w:tr>
        <w:tc>
          <w:tcPr>
            <w:tcW w:type="dxa" w:w="2045"/>
            <w:vAlign w:val="center"/>
          </w:tcPr>
          <w:p>
            <w:r/>
            <w:r>
              <w:rPr>
                <w:rFonts w:ascii="Arial" w:hAnsi="Arial"/>
                <w:b w:val="0"/>
                <w:sz w:val="15"/>
              </w:rPr>
              <w:t>A7</w:t>
            </w:r>
          </w:p>
        </w:tc>
        <w:tc>
          <w:tcPr>
            <w:tcW w:type="dxa" w:w="2045"/>
            <w:vAlign w:val="center"/>
          </w:tcPr>
          <w:p>
            <w:r/>
            <w:r>
              <w:rPr>
                <w:rFonts w:ascii="Arial" w:hAnsi="Arial"/>
                <w:b w:val="0"/>
                <w:sz w:val="15"/>
              </w:rPr>
              <w:t>CVVHDF median total CL AVI</w:t>
            </w:r>
          </w:p>
        </w:tc>
        <w:tc>
          <w:tcPr>
            <w:tcW w:type="dxa" w:w="2045"/>
            <w:vAlign w:val="center"/>
          </w:tcPr>
          <w:p>
            <w:r/>
            <w:r>
              <w:rPr>
                <w:rFonts w:ascii="Arial" w:hAnsi="Arial"/>
                <w:b w:val="0"/>
                <w:sz w:val="15"/>
              </w:rPr>
              <w:t>2.56 L/h (body text IQR 2.22–2.96)</w:t>
            </w:r>
          </w:p>
        </w:tc>
        <w:tc>
          <w:tcPr>
            <w:tcW w:type="dxa" w:w="2045"/>
            <w:vAlign w:val="center"/>
          </w:tcPr>
          <w:p>
            <w:r/>
            <w:r>
              <w:rPr>
                <w:rFonts w:ascii="Arial" w:hAnsi="Arial"/>
                <w:b w:val="0"/>
                <w:sz w:val="15"/>
              </w:rPr>
              <w:t>Gatti 2023</w:t>
            </w:r>
          </w:p>
        </w:tc>
        <w:tc>
          <w:tcPr>
            <w:tcW w:type="dxa" w:w="2045"/>
            <w:vAlign w:val="center"/>
          </w:tcPr>
          <w:p>
            <w:r/>
            <w:r>
              <w:rPr>
                <w:rFonts w:ascii="Arial" w:hAnsi="Arial"/>
                <w:b w:val="0"/>
                <w:sz w:val="15"/>
              </w:rPr>
              <w:t>Abstract/body discrepancy retained</w:t>
            </w:r>
          </w:p>
        </w:tc>
      </w:tr>
      <w:tr>
        <w:tc>
          <w:tcPr>
            <w:tcW w:type="dxa" w:w="2045"/>
            <w:vAlign w:val="center"/>
          </w:tcPr>
          <w:p>
            <w:r/>
            <w:r>
              <w:rPr>
                <w:rFonts w:ascii="Arial" w:hAnsi="Arial"/>
                <w:b w:val="0"/>
                <w:sz w:val="15"/>
              </w:rPr>
              <w:t>A8</w:t>
            </w:r>
          </w:p>
        </w:tc>
        <w:tc>
          <w:tcPr>
            <w:tcW w:type="dxa" w:w="2045"/>
            <w:vAlign w:val="center"/>
          </w:tcPr>
          <w:p>
            <w:r/>
            <w:r>
              <w:rPr>
                <w:rFonts w:ascii="Arial" w:hAnsi="Arial"/>
                <w:b w:val="0"/>
                <w:sz w:val="15"/>
              </w:rPr>
              <w:t>CVVHDF intensity vs CAZ CL</w:t>
            </w:r>
          </w:p>
        </w:tc>
        <w:tc>
          <w:tcPr>
            <w:tcW w:type="dxa" w:w="2045"/>
            <w:vAlign w:val="center"/>
          </w:tcPr>
          <w:p>
            <w:r/>
            <w:r>
              <w:rPr>
                <w:rFonts w:ascii="Arial" w:hAnsi="Arial"/>
                <w:b w:val="0"/>
                <w:sz w:val="15"/>
              </w:rPr>
              <w:t>r=0.53; p=0.03</w:t>
            </w:r>
          </w:p>
        </w:tc>
        <w:tc>
          <w:tcPr>
            <w:tcW w:type="dxa" w:w="2045"/>
            <w:vAlign w:val="center"/>
          </w:tcPr>
          <w:p>
            <w:r/>
            <w:r>
              <w:rPr>
                <w:rFonts w:ascii="Arial" w:hAnsi="Arial"/>
                <w:b w:val="0"/>
                <w:sz w:val="15"/>
              </w:rPr>
              <w:t>Gatti 2023</w:t>
            </w:r>
          </w:p>
        </w:tc>
        <w:tc>
          <w:tcPr>
            <w:tcW w:type="dxa" w:w="2045"/>
            <w:vAlign w:val="center"/>
          </w:tcPr>
          <w:p>
            <w:r/>
            <w:r>
              <w:rPr>
                <w:rFonts w:ascii="Arial" w:hAnsi="Arial"/>
                <w:b w:val="0"/>
                <w:sz w:val="15"/>
              </w:rPr>
              <w:t>Clinical association</w:t>
            </w:r>
          </w:p>
        </w:tc>
      </w:tr>
      <w:tr>
        <w:tc>
          <w:tcPr>
            <w:tcW w:type="dxa" w:w="2045"/>
            <w:vAlign w:val="center"/>
          </w:tcPr>
          <w:p>
            <w:r/>
            <w:r>
              <w:rPr>
                <w:rFonts w:ascii="Arial" w:hAnsi="Arial"/>
                <w:b w:val="0"/>
                <w:sz w:val="15"/>
              </w:rPr>
              <w:t>A9</w:t>
            </w:r>
          </w:p>
        </w:tc>
        <w:tc>
          <w:tcPr>
            <w:tcW w:type="dxa" w:w="2045"/>
            <w:vAlign w:val="center"/>
          </w:tcPr>
          <w:p>
            <w:r/>
            <w:r>
              <w:rPr>
                <w:rFonts w:ascii="Arial" w:hAnsi="Arial"/>
                <w:b w:val="0"/>
                <w:sz w:val="15"/>
              </w:rPr>
              <w:t>CVVHDF intensity vs AVI CL</w:t>
            </w:r>
          </w:p>
        </w:tc>
        <w:tc>
          <w:tcPr>
            <w:tcW w:type="dxa" w:w="2045"/>
            <w:vAlign w:val="center"/>
          </w:tcPr>
          <w:p>
            <w:r/>
            <w:r>
              <w:rPr>
                <w:rFonts w:ascii="Arial" w:hAnsi="Arial"/>
                <w:b w:val="0"/>
                <w:sz w:val="15"/>
              </w:rPr>
              <w:t>r=0.64; p=0.006</w:t>
            </w:r>
          </w:p>
        </w:tc>
        <w:tc>
          <w:tcPr>
            <w:tcW w:type="dxa" w:w="2045"/>
            <w:vAlign w:val="center"/>
          </w:tcPr>
          <w:p>
            <w:r/>
            <w:r>
              <w:rPr>
                <w:rFonts w:ascii="Arial" w:hAnsi="Arial"/>
                <w:b w:val="0"/>
                <w:sz w:val="15"/>
              </w:rPr>
              <w:t>Gatti 2023</w:t>
            </w:r>
          </w:p>
        </w:tc>
        <w:tc>
          <w:tcPr>
            <w:tcW w:type="dxa" w:w="2045"/>
            <w:vAlign w:val="center"/>
          </w:tcPr>
          <w:p>
            <w:r/>
            <w:r>
              <w:rPr>
                <w:rFonts w:ascii="Arial" w:hAnsi="Arial"/>
                <w:b w:val="0"/>
                <w:sz w:val="15"/>
              </w:rPr>
              <w:t>Clinical association</w:t>
            </w:r>
          </w:p>
        </w:tc>
      </w:tr>
      <w:tr>
        <w:tc>
          <w:tcPr>
            <w:tcW w:type="dxa" w:w="2045"/>
            <w:vAlign w:val="center"/>
          </w:tcPr>
          <w:p>
            <w:r/>
            <w:r>
              <w:rPr>
                <w:rFonts w:ascii="Arial" w:hAnsi="Arial"/>
                <w:b w:val="0"/>
                <w:sz w:val="15"/>
              </w:rPr>
              <w:t>A10</w:t>
            </w:r>
          </w:p>
        </w:tc>
        <w:tc>
          <w:tcPr>
            <w:tcW w:type="dxa" w:w="2045"/>
            <w:vAlign w:val="center"/>
          </w:tcPr>
          <w:p>
            <w:r/>
            <w:r>
              <w:rPr>
                <w:rFonts w:ascii="Arial" w:hAnsi="Arial"/>
                <w:b w:val="0"/>
                <w:sz w:val="15"/>
              </w:rPr>
              <w:t>Healthy-volunteer plasma CL CAZ</w:t>
            </w:r>
          </w:p>
        </w:tc>
        <w:tc>
          <w:tcPr>
            <w:tcW w:type="dxa" w:w="2045"/>
            <w:vAlign w:val="center"/>
          </w:tcPr>
          <w:p>
            <w:r/>
            <w:r>
              <w:rPr>
                <w:rFonts w:ascii="Arial" w:hAnsi="Arial"/>
                <w:b w:val="0"/>
                <w:sz w:val="15"/>
              </w:rPr>
              <w:t>8.41 L/h</w:t>
            </w:r>
          </w:p>
        </w:tc>
        <w:tc>
          <w:tcPr>
            <w:tcW w:type="dxa" w:w="2045"/>
            <w:vAlign w:val="center"/>
          </w:tcPr>
          <w:p>
            <w:r/>
            <w:r>
              <w:rPr>
                <w:rFonts w:ascii="Arial" w:hAnsi="Arial"/>
                <w:b w:val="0"/>
                <w:sz w:val="15"/>
              </w:rPr>
              <w:t>Wölfl-Duchek 2025</w:t>
            </w:r>
          </w:p>
        </w:tc>
        <w:tc>
          <w:tcPr>
            <w:tcW w:type="dxa" w:w="2045"/>
            <w:vAlign w:val="center"/>
          </w:tcPr>
          <w:p>
            <w:r/>
            <w:r>
              <w:rPr>
                <w:rFonts w:ascii="Arial" w:hAnsi="Arial"/>
                <w:b w:val="0"/>
                <w:sz w:val="15"/>
              </w:rPr>
              <w:t>Free-drug model; 70-kg scaling</w:t>
            </w:r>
          </w:p>
        </w:tc>
      </w:tr>
      <w:tr>
        <w:tc>
          <w:tcPr>
            <w:tcW w:type="dxa" w:w="2045"/>
            <w:vAlign w:val="center"/>
          </w:tcPr>
          <w:p>
            <w:r/>
            <w:r>
              <w:rPr>
                <w:rFonts w:ascii="Arial" w:hAnsi="Arial"/>
                <w:b w:val="0"/>
                <w:sz w:val="15"/>
              </w:rPr>
              <w:t>A11</w:t>
            </w:r>
          </w:p>
        </w:tc>
        <w:tc>
          <w:tcPr>
            <w:tcW w:type="dxa" w:w="2045"/>
            <w:vAlign w:val="center"/>
          </w:tcPr>
          <w:p>
            <w:r/>
            <w:r>
              <w:rPr>
                <w:rFonts w:ascii="Arial" w:hAnsi="Arial"/>
                <w:b w:val="0"/>
                <w:sz w:val="15"/>
              </w:rPr>
              <w:t>Healthy-volunteer plasma CL AVI</w:t>
            </w:r>
          </w:p>
        </w:tc>
        <w:tc>
          <w:tcPr>
            <w:tcW w:type="dxa" w:w="2045"/>
            <w:vAlign w:val="center"/>
          </w:tcPr>
          <w:p>
            <w:r/>
            <w:r>
              <w:rPr>
                <w:rFonts w:ascii="Arial" w:hAnsi="Arial"/>
                <w:b w:val="0"/>
                <w:sz w:val="15"/>
              </w:rPr>
              <w:t>11.3 L/h</w:t>
            </w:r>
          </w:p>
        </w:tc>
        <w:tc>
          <w:tcPr>
            <w:tcW w:type="dxa" w:w="2045"/>
            <w:vAlign w:val="center"/>
          </w:tcPr>
          <w:p>
            <w:r/>
            <w:r>
              <w:rPr>
                <w:rFonts w:ascii="Arial" w:hAnsi="Arial"/>
                <w:b w:val="0"/>
                <w:sz w:val="15"/>
              </w:rPr>
              <w:t>Wölfl-Duchek 2025</w:t>
            </w:r>
          </w:p>
        </w:tc>
        <w:tc>
          <w:tcPr>
            <w:tcW w:type="dxa" w:w="2045"/>
            <w:vAlign w:val="center"/>
          </w:tcPr>
          <w:p>
            <w:r/>
            <w:r>
              <w:rPr>
                <w:rFonts w:ascii="Arial" w:hAnsi="Arial"/>
                <w:b w:val="0"/>
                <w:sz w:val="15"/>
              </w:rPr>
              <w:t>Free-drug model; 70-kg scaling</w:t>
            </w:r>
          </w:p>
        </w:tc>
      </w:tr>
      <w:tr>
        <w:tc>
          <w:tcPr>
            <w:tcW w:type="dxa" w:w="2045"/>
            <w:vAlign w:val="center"/>
          </w:tcPr>
          <w:p>
            <w:r/>
            <w:r>
              <w:rPr>
                <w:rFonts w:ascii="Arial" w:hAnsi="Arial"/>
                <w:b w:val="0"/>
                <w:sz w:val="15"/>
              </w:rPr>
              <w:t>A12</w:t>
            </w:r>
          </w:p>
        </w:tc>
        <w:tc>
          <w:tcPr>
            <w:tcW w:type="dxa" w:w="2045"/>
            <w:vAlign w:val="center"/>
          </w:tcPr>
          <w:p>
            <w:r/>
            <w:r>
              <w:rPr>
                <w:rFonts w:ascii="Arial" w:hAnsi="Arial"/>
                <w:b w:val="0"/>
                <w:sz w:val="15"/>
              </w:rPr>
              <w:t>Healthy-volunteer plasma Vc CAZ / AVI</w:t>
            </w:r>
          </w:p>
        </w:tc>
        <w:tc>
          <w:tcPr>
            <w:tcW w:type="dxa" w:w="2045"/>
            <w:vAlign w:val="center"/>
          </w:tcPr>
          <w:p>
            <w:r/>
            <w:r>
              <w:rPr>
                <w:rFonts w:ascii="Arial" w:hAnsi="Arial"/>
                <w:b w:val="0"/>
                <w:sz w:val="15"/>
              </w:rPr>
              <w:t>12.2 / 12.3 L</w:t>
            </w:r>
          </w:p>
        </w:tc>
        <w:tc>
          <w:tcPr>
            <w:tcW w:type="dxa" w:w="2045"/>
            <w:vAlign w:val="center"/>
          </w:tcPr>
          <w:p>
            <w:r/>
            <w:r>
              <w:rPr>
                <w:rFonts w:ascii="Arial" w:hAnsi="Arial"/>
                <w:b w:val="0"/>
                <w:sz w:val="15"/>
              </w:rPr>
              <w:t>Wölfl-Duchek 2025</w:t>
            </w:r>
          </w:p>
        </w:tc>
        <w:tc>
          <w:tcPr>
            <w:tcW w:type="dxa" w:w="2045"/>
            <w:vAlign w:val="center"/>
          </w:tcPr>
          <w:p>
            <w:r/>
            <w:r>
              <w:rPr>
                <w:rFonts w:ascii="Arial" w:hAnsi="Arial"/>
                <w:b w:val="0"/>
                <w:sz w:val="15"/>
              </w:rPr>
              <w:t>Two-compartment models</w:t>
            </w:r>
          </w:p>
        </w:tc>
      </w:tr>
      <w:tr>
        <w:tc>
          <w:tcPr>
            <w:tcW w:type="dxa" w:w="2045"/>
            <w:vAlign w:val="center"/>
          </w:tcPr>
          <w:p>
            <w:r/>
            <w:r>
              <w:rPr>
                <w:rFonts w:ascii="Arial" w:hAnsi="Arial"/>
                <w:b w:val="0"/>
                <w:sz w:val="15"/>
              </w:rPr>
              <w:t>A13</w:t>
            </w:r>
          </w:p>
        </w:tc>
        <w:tc>
          <w:tcPr>
            <w:tcW w:type="dxa" w:w="2045"/>
            <w:vAlign w:val="center"/>
          </w:tcPr>
          <w:p>
            <w:r/>
            <w:r>
              <w:rPr>
                <w:rFonts w:ascii="Arial" w:hAnsi="Arial"/>
                <w:b w:val="0"/>
                <w:sz w:val="15"/>
              </w:rPr>
              <w:t>Healthy-volunteer IIV CL CAZ / AVI</w:t>
            </w:r>
          </w:p>
        </w:tc>
        <w:tc>
          <w:tcPr>
            <w:tcW w:type="dxa" w:w="2045"/>
            <w:vAlign w:val="center"/>
          </w:tcPr>
          <w:p>
            <w:r/>
            <w:r>
              <w:rPr>
                <w:rFonts w:ascii="Arial" w:hAnsi="Arial"/>
                <w:b w:val="0"/>
                <w:sz w:val="15"/>
              </w:rPr>
              <w:t>8.40% / 4.55% CV</w:t>
            </w:r>
          </w:p>
        </w:tc>
        <w:tc>
          <w:tcPr>
            <w:tcW w:type="dxa" w:w="2045"/>
            <w:vAlign w:val="center"/>
          </w:tcPr>
          <w:p>
            <w:r/>
            <w:r>
              <w:rPr>
                <w:rFonts w:ascii="Arial" w:hAnsi="Arial"/>
                <w:b w:val="0"/>
                <w:sz w:val="15"/>
              </w:rPr>
              <w:t>Wölfl-Duchek 2025</w:t>
            </w:r>
          </w:p>
        </w:tc>
        <w:tc>
          <w:tcPr>
            <w:tcW w:type="dxa" w:w="2045"/>
            <w:vAlign w:val="center"/>
          </w:tcPr>
          <w:p>
            <w:r/>
            <w:r>
              <w:rPr>
                <w:rFonts w:ascii="Arial" w:hAnsi="Arial"/>
                <w:b w:val="0"/>
                <w:sz w:val="15"/>
              </w:rPr>
              <w:t>Population-model variability</w:t>
            </w:r>
          </w:p>
        </w:tc>
      </w:tr>
      <w:tr>
        <w:tc>
          <w:tcPr>
            <w:tcW w:type="dxa" w:w="2045"/>
            <w:vAlign w:val="center"/>
          </w:tcPr>
          <w:p>
            <w:r/>
            <w:r>
              <w:rPr>
                <w:rFonts w:ascii="Arial" w:hAnsi="Arial"/>
                <w:b w:val="0"/>
                <w:sz w:val="15"/>
              </w:rPr>
              <w:t>A14</w:t>
            </w:r>
          </w:p>
        </w:tc>
        <w:tc>
          <w:tcPr>
            <w:tcW w:type="dxa" w:w="2045"/>
            <w:vAlign w:val="center"/>
          </w:tcPr>
          <w:p>
            <w:r/>
            <w:r>
              <w:rPr>
                <w:rFonts w:ascii="Arial" w:hAnsi="Arial"/>
                <w:b w:val="0"/>
                <w:sz w:val="15"/>
              </w:rPr>
              <w:t>CSF combined CAZ–AVI PTA</w:t>
            </w:r>
          </w:p>
        </w:tc>
        <w:tc>
          <w:tcPr>
            <w:tcW w:type="dxa" w:w="2045"/>
            <w:vAlign w:val="center"/>
          </w:tcPr>
          <w:p>
            <w:r/>
            <w:r>
              <w:rPr>
                <w:rFonts w:ascii="Arial" w:hAnsi="Arial"/>
                <w:b w:val="0"/>
                <w:sz w:val="15"/>
              </w:rPr>
              <w:t>0% under the reported combined target</w:t>
            </w:r>
          </w:p>
        </w:tc>
        <w:tc>
          <w:tcPr>
            <w:tcW w:type="dxa" w:w="2045"/>
            <w:vAlign w:val="center"/>
          </w:tcPr>
          <w:p>
            <w:r/>
            <w:r>
              <w:rPr>
                <w:rFonts w:ascii="Arial" w:hAnsi="Arial"/>
                <w:b w:val="0"/>
                <w:sz w:val="15"/>
              </w:rPr>
              <w:t>Wölfl-Duchek 2025</w:t>
            </w:r>
          </w:p>
        </w:tc>
        <w:tc>
          <w:tcPr>
            <w:tcW w:type="dxa" w:w="2045"/>
            <w:vAlign w:val="center"/>
          </w:tcPr>
          <w:p>
            <w:r/>
            <w:r>
              <w:rPr>
                <w:rFonts w:ascii="Arial" w:hAnsi="Arial"/>
                <w:b w:val="0"/>
                <w:sz w:val="15"/>
              </w:rPr>
              <w:t>Tissue-site negative-control anchor</w:t>
            </w:r>
          </w:p>
        </w:tc>
      </w:tr>
      <w:tr>
        <w:tc>
          <w:tcPr>
            <w:tcW w:type="dxa" w:w="2045"/>
            <w:vAlign w:val="center"/>
          </w:tcPr>
          <w:p>
            <w:r/>
            <w:r>
              <w:rPr>
                <w:rFonts w:ascii="Arial" w:hAnsi="Arial"/>
                <w:b w:val="0"/>
                <w:sz w:val="15"/>
              </w:rPr>
              <w:t>A15</w:t>
            </w:r>
          </w:p>
        </w:tc>
        <w:tc>
          <w:tcPr>
            <w:tcW w:type="dxa" w:w="2045"/>
            <w:vAlign w:val="center"/>
          </w:tcPr>
          <w:p>
            <w:r/>
            <w:r>
              <w:rPr>
                <w:rFonts w:ascii="Arial" w:hAnsi="Arial"/>
                <w:b w:val="0"/>
                <w:sz w:val="15"/>
              </w:rPr>
              <w:t>CI renal-stratified PTA/CFR pattern</w:t>
            </w:r>
          </w:p>
        </w:tc>
        <w:tc>
          <w:tcPr>
            <w:tcW w:type="dxa" w:w="2045"/>
            <w:vAlign w:val="center"/>
          </w:tcPr>
          <w:p>
            <w:r/>
            <w:r>
              <w:rPr>
                <w:rFonts w:ascii="Arial" w:hAnsi="Arial"/>
                <w:b w:val="0"/>
                <w:sz w:val="15"/>
              </w:rPr>
              <w:t>No permissible regimen achieved optimal PTA through MIC 8 mg/L; best regimens achieved optimal PTA through MIC 4 mg/L in selected eGFR strata</w:t>
            </w:r>
          </w:p>
        </w:tc>
        <w:tc>
          <w:tcPr>
            <w:tcW w:type="dxa" w:w="2045"/>
            <w:vAlign w:val="center"/>
          </w:tcPr>
          <w:p>
            <w:r/>
            <w:r>
              <w:rPr>
                <w:rFonts w:ascii="Arial" w:hAnsi="Arial"/>
                <w:b w:val="0"/>
                <w:sz w:val="15"/>
              </w:rPr>
              <w:t>Cojutti 2024</w:t>
            </w:r>
          </w:p>
        </w:tc>
        <w:tc>
          <w:tcPr>
            <w:tcW w:type="dxa" w:w="2045"/>
            <w:vAlign w:val="center"/>
          </w:tcPr>
          <w:p>
            <w:r/>
            <w:r>
              <w:rPr>
                <w:rFonts w:ascii="Arial" w:hAnsi="Arial"/>
                <w:b w:val="0"/>
                <w:sz w:val="15"/>
              </w:rPr>
              <w:t>Directional calibration anchor</w:t>
            </w:r>
          </w:p>
        </w:tc>
      </w:tr>
    </w:tbl>
    <w:p/>
    <w:p>
      <w:pPr>
        <w:pStyle w:val="Heading1"/>
      </w:pPr>
      <w:r>
        <w:t>6. First-run comparison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rFonts w:ascii="Arial" w:hAnsi="Arial"/>
                <w:b/>
                <w:sz w:val="16"/>
              </w:rPr>
              <w:t>Anchor</w:t>
            </w:r>
          </w:p>
        </w:tc>
        <w:tc>
          <w:tcPr>
            <w:tcW w:type="dxa" w:w="1704"/>
            <w:vAlign w:val="center"/>
            <w:shd w:fill="D9EAF7"/>
          </w:tcPr>
          <w:p>
            <w:r/>
            <w:r>
              <w:rPr>
                <w:rFonts w:ascii="Arial" w:hAnsi="Arial"/>
                <w:b/>
                <w:sz w:val="16"/>
              </w:rPr>
              <w:t>Metric</w:t>
            </w:r>
          </w:p>
        </w:tc>
        <w:tc>
          <w:tcPr>
            <w:tcW w:type="dxa" w:w="1704"/>
            <w:vAlign w:val="center"/>
            <w:shd w:fill="D9EAF7"/>
          </w:tcPr>
          <w:p>
            <w:r/>
            <w:r>
              <w:rPr>
                <w:rFonts w:ascii="Arial" w:hAnsi="Arial"/>
                <w:b/>
                <w:sz w:val="16"/>
              </w:rPr>
              <w:t>Published</w:t>
            </w:r>
          </w:p>
        </w:tc>
        <w:tc>
          <w:tcPr>
            <w:tcW w:type="dxa" w:w="1704"/>
            <w:vAlign w:val="center"/>
            <w:shd w:fill="D9EAF7"/>
          </w:tcPr>
          <w:p>
            <w:r/>
            <w:r>
              <w:rPr>
                <w:rFonts w:ascii="Arial" w:hAnsi="Arial"/>
                <w:b/>
                <w:sz w:val="16"/>
              </w:rPr>
              <w:t>Composite run</w:t>
            </w:r>
          </w:p>
        </w:tc>
        <w:tc>
          <w:tcPr>
            <w:tcW w:type="dxa" w:w="1704"/>
            <w:vAlign w:val="center"/>
            <w:shd w:fill="D9EAF7"/>
          </w:tcPr>
          <w:p>
            <w:r/>
            <w:r>
              <w:rPr>
                <w:rFonts w:ascii="Arial" w:hAnsi="Arial"/>
                <w:b/>
                <w:sz w:val="16"/>
              </w:rPr>
              <w:t>Difference</w:t>
            </w:r>
          </w:p>
        </w:tc>
        <w:tc>
          <w:tcPr>
            <w:tcW w:type="dxa" w:w="1704"/>
            <w:vAlign w:val="center"/>
            <w:shd w:fill="D9EAF7"/>
          </w:tcPr>
          <w:p>
            <w:r/>
            <w:r>
              <w:rPr>
                <w:rFonts w:ascii="Arial" w:hAnsi="Arial"/>
                <w:b/>
                <w:sz w:val="16"/>
              </w:rPr>
              <w:t>Status</w:t>
            </w:r>
          </w:p>
        </w:tc>
      </w:tr>
      <w:tr>
        <w:tc>
          <w:tcPr>
            <w:tcW w:type="dxa" w:w="1704"/>
            <w:vAlign w:val="center"/>
          </w:tcPr>
          <w:p>
            <w:r/>
            <w:r>
              <w:rPr>
                <w:rFonts w:ascii="Arial" w:hAnsi="Arial"/>
                <w:b w:val="0"/>
                <w:sz w:val="15"/>
              </w:rPr>
              <w:t>A1</w:t>
            </w:r>
          </w:p>
        </w:tc>
        <w:tc>
          <w:tcPr>
            <w:tcW w:type="dxa" w:w="1704"/>
            <w:vAlign w:val="center"/>
          </w:tcPr>
          <w:p>
            <w:r/>
            <w:r>
              <w:rPr>
                <w:rFonts w:ascii="Arial" w:hAnsi="Arial"/>
                <w:b w:val="0"/>
                <w:sz w:val="15"/>
              </w:rPr>
              <w:t>ECMO observed CAZ trough &gt;8 mg/L</w:t>
            </w:r>
          </w:p>
        </w:tc>
        <w:tc>
          <w:tcPr>
            <w:tcW w:type="dxa" w:w="1704"/>
            <w:vAlign w:val="center"/>
          </w:tcPr>
          <w:p>
            <w:r/>
            <w:r>
              <w:rPr>
                <w:rFonts w:ascii="Arial" w:hAnsi="Arial"/>
                <w:b w:val="0"/>
                <w:sz w:val="15"/>
              </w:rPr>
              <w:t>22/23 (96%)</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A2</w:t>
            </w:r>
          </w:p>
        </w:tc>
        <w:tc>
          <w:tcPr>
            <w:tcW w:type="dxa" w:w="1704"/>
            <w:vAlign w:val="center"/>
          </w:tcPr>
          <w:p>
            <w:r/>
            <w:r>
              <w:rPr>
                <w:rFonts w:ascii="Arial" w:hAnsi="Arial"/>
                <w:b w:val="0"/>
                <w:sz w:val="15"/>
              </w:rPr>
              <w:t>ECMO observed AVI trough &gt;4 mg/L</w:t>
            </w:r>
          </w:p>
        </w:tc>
        <w:tc>
          <w:tcPr>
            <w:tcW w:type="dxa" w:w="1704"/>
            <w:vAlign w:val="center"/>
          </w:tcPr>
          <w:p>
            <w:r/>
            <w:r>
              <w:rPr>
                <w:rFonts w:ascii="Arial" w:hAnsi="Arial"/>
                <w:b w:val="0"/>
                <w:sz w:val="15"/>
              </w:rPr>
              <w:t>14/23 (61%)</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A3</w:t>
            </w:r>
          </w:p>
        </w:tc>
        <w:tc>
          <w:tcPr>
            <w:tcW w:type="dxa" w:w="1704"/>
            <w:vAlign w:val="center"/>
          </w:tcPr>
          <w:p>
            <w:r/>
            <w:r>
              <w:rPr>
                <w:rFonts w:ascii="Arial" w:hAnsi="Arial"/>
                <w:b w:val="0"/>
                <w:sz w:val="15"/>
              </w:rPr>
              <w:t>ECMO observed joint target attained</w:t>
            </w:r>
          </w:p>
        </w:tc>
        <w:tc>
          <w:tcPr>
            <w:tcW w:type="dxa" w:w="1704"/>
            <w:vAlign w:val="center"/>
          </w:tcPr>
          <w:p>
            <w:r/>
            <w:r>
              <w:rPr>
                <w:rFonts w:ascii="Arial" w:hAnsi="Arial"/>
                <w:b w:val="0"/>
                <w:sz w:val="15"/>
              </w:rPr>
              <w:t>14/23 (61%)</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A4</w:t>
            </w:r>
          </w:p>
        </w:tc>
        <w:tc>
          <w:tcPr>
            <w:tcW w:type="dxa" w:w="1704"/>
            <w:vAlign w:val="center"/>
          </w:tcPr>
          <w:p>
            <w:r/>
            <w:r>
              <w:rPr>
                <w:rFonts w:ascii="Arial" w:hAnsi="Arial"/>
                <w:b w:val="0"/>
                <w:sz w:val="15"/>
              </w:rPr>
              <w:t>CVVHDF median fCss CAZ</w:t>
            </w:r>
          </w:p>
        </w:tc>
        <w:tc>
          <w:tcPr>
            <w:tcW w:type="dxa" w:w="1704"/>
            <w:vAlign w:val="center"/>
          </w:tcPr>
          <w:p>
            <w:r/>
            <w:r>
              <w:rPr>
                <w:rFonts w:ascii="Arial" w:hAnsi="Arial"/>
                <w:b w:val="0"/>
                <w:sz w:val="15"/>
              </w:rPr>
              <w:t>84.5 mg/L (IQR 73.7–87.7)</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A5</w:t>
            </w:r>
          </w:p>
        </w:tc>
        <w:tc>
          <w:tcPr>
            <w:tcW w:type="dxa" w:w="1704"/>
            <w:vAlign w:val="center"/>
          </w:tcPr>
          <w:p>
            <w:r/>
            <w:r>
              <w:rPr>
                <w:rFonts w:ascii="Arial" w:hAnsi="Arial"/>
                <w:b w:val="0"/>
                <w:sz w:val="15"/>
              </w:rPr>
              <w:t>CVVHDF median fCss AVI</w:t>
            </w:r>
          </w:p>
        </w:tc>
        <w:tc>
          <w:tcPr>
            <w:tcW w:type="dxa" w:w="1704"/>
            <w:vAlign w:val="center"/>
          </w:tcPr>
          <w:p>
            <w:r/>
            <w:r>
              <w:rPr>
                <w:rFonts w:ascii="Arial" w:hAnsi="Arial"/>
                <w:b w:val="0"/>
                <w:sz w:val="15"/>
              </w:rPr>
              <w:t>24.8 mg/L (IQR 20.7–25.8)</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A6</w:t>
            </w:r>
          </w:p>
        </w:tc>
        <w:tc>
          <w:tcPr>
            <w:tcW w:type="dxa" w:w="1704"/>
            <w:vAlign w:val="center"/>
          </w:tcPr>
          <w:p>
            <w:r/>
            <w:r>
              <w:rPr>
                <w:rFonts w:ascii="Arial" w:hAnsi="Arial"/>
                <w:b w:val="0"/>
                <w:sz w:val="15"/>
              </w:rPr>
              <w:t>CVVHDF median total CL CAZ</w:t>
            </w:r>
          </w:p>
        </w:tc>
        <w:tc>
          <w:tcPr>
            <w:tcW w:type="dxa" w:w="1704"/>
            <w:vAlign w:val="center"/>
          </w:tcPr>
          <w:p>
            <w:r/>
            <w:r>
              <w:rPr>
                <w:rFonts w:ascii="Arial" w:hAnsi="Arial"/>
                <w:b w:val="0"/>
                <w:sz w:val="15"/>
              </w:rPr>
              <w:t>2.39 L/h (body text IQR 2.05–2.94)</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A7</w:t>
            </w:r>
          </w:p>
        </w:tc>
        <w:tc>
          <w:tcPr>
            <w:tcW w:type="dxa" w:w="1704"/>
            <w:vAlign w:val="center"/>
          </w:tcPr>
          <w:p>
            <w:r/>
            <w:r>
              <w:rPr>
                <w:rFonts w:ascii="Arial" w:hAnsi="Arial"/>
                <w:b w:val="0"/>
                <w:sz w:val="15"/>
              </w:rPr>
              <w:t>CVVHDF median total CL AVI</w:t>
            </w:r>
          </w:p>
        </w:tc>
        <w:tc>
          <w:tcPr>
            <w:tcW w:type="dxa" w:w="1704"/>
            <w:vAlign w:val="center"/>
          </w:tcPr>
          <w:p>
            <w:r/>
            <w:r>
              <w:rPr>
                <w:rFonts w:ascii="Arial" w:hAnsi="Arial"/>
                <w:b w:val="0"/>
                <w:sz w:val="15"/>
              </w:rPr>
              <w:t>2.56 L/h (body text IQR 2.22–2.96)</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A8</w:t>
            </w:r>
          </w:p>
        </w:tc>
        <w:tc>
          <w:tcPr>
            <w:tcW w:type="dxa" w:w="1704"/>
            <w:vAlign w:val="center"/>
          </w:tcPr>
          <w:p>
            <w:r/>
            <w:r>
              <w:rPr>
                <w:rFonts w:ascii="Arial" w:hAnsi="Arial"/>
                <w:b w:val="0"/>
                <w:sz w:val="15"/>
              </w:rPr>
              <w:t>CVVHDF intensity vs CAZ CL</w:t>
            </w:r>
          </w:p>
        </w:tc>
        <w:tc>
          <w:tcPr>
            <w:tcW w:type="dxa" w:w="1704"/>
            <w:vAlign w:val="center"/>
          </w:tcPr>
          <w:p>
            <w:r/>
            <w:r>
              <w:rPr>
                <w:rFonts w:ascii="Arial" w:hAnsi="Arial"/>
                <w:b w:val="0"/>
                <w:sz w:val="15"/>
              </w:rPr>
              <w:t>r=0.53; p=0.03</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A9</w:t>
            </w:r>
          </w:p>
        </w:tc>
        <w:tc>
          <w:tcPr>
            <w:tcW w:type="dxa" w:w="1704"/>
            <w:vAlign w:val="center"/>
          </w:tcPr>
          <w:p>
            <w:r/>
            <w:r>
              <w:rPr>
                <w:rFonts w:ascii="Arial" w:hAnsi="Arial"/>
                <w:b w:val="0"/>
                <w:sz w:val="15"/>
              </w:rPr>
              <w:t>CVVHDF intensity vs AVI CL</w:t>
            </w:r>
          </w:p>
        </w:tc>
        <w:tc>
          <w:tcPr>
            <w:tcW w:type="dxa" w:w="1704"/>
            <w:vAlign w:val="center"/>
          </w:tcPr>
          <w:p>
            <w:r/>
            <w:r>
              <w:rPr>
                <w:rFonts w:ascii="Arial" w:hAnsi="Arial"/>
                <w:b w:val="0"/>
                <w:sz w:val="15"/>
              </w:rPr>
              <w:t>r=0.64; p=0.006</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A10</w:t>
            </w:r>
          </w:p>
        </w:tc>
        <w:tc>
          <w:tcPr>
            <w:tcW w:type="dxa" w:w="1704"/>
            <w:vAlign w:val="center"/>
          </w:tcPr>
          <w:p>
            <w:r/>
            <w:r>
              <w:rPr>
                <w:rFonts w:ascii="Arial" w:hAnsi="Arial"/>
                <w:b w:val="0"/>
                <w:sz w:val="15"/>
              </w:rPr>
              <w:t>Healthy-volunteer plasma CL CAZ</w:t>
            </w:r>
          </w:p>
        </w:tc>
        <w:tc>
          <w:tcPr>
            <w:tcW w:type="dxa" w:w="1704"/>
            <w:vAlign w:val="center"/>
          </w:tcPr>
          <w:p>
            <w:r/>
            <w:r>
              <w:rPr>
                <w:rFonts w:ascii="Arial" w:hAnsi="Arial"/>
                <w:b w:val="0"/>
                <w:sz w:val="15"/>
              </w:rPr>
              <w:t>8.41 L/h</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A11</w:t>
            </w:r>
          </w:p>
        </w:tc>
        <w:tc>
          <w:tcPr>
            <w:tcW w:type="dxa" w:w="1704"/>
            <w:vAlign w:val="center"/>
          </w:tcPr>
          <w:p>
            <w:r/>
            <w:r>
              <w:rPr>
                <w:rFonts w:ascii="Arial" w:hAnsi="Arial"/>
                <w:b w:val="0"/>
                <w:sz w:val="15"/>
              </w:rPr>
              <w:t>Healthy-volunteer plasma CL AVI</w:t>
            </w:r>
          </w:p>
        </w:tc>
        <w:tc>
          <w:tcPr>
            <w:tcW w:type="dxa" w:w="1704"/>
            <w:vAlign w:val="center"/>
          </w:tcPr>
          <w:p>
            <w:r/>
            <w:r>
              <w:rPr>
                <w:rFonts w:ascii="Arial" w:hAnsi="Arial"/>
                <w:b w:val="0"/>
                <w:sz w:val="15"/>
              </w:rPr>
              <w:t>11.3 L/h</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A12</w:t>
            </w:r>
          </w:p>
        </w:tc>
        <w:tc>
          <w:tcPr>
            <w:tcW w:type="dxa" w:w="1704"/>
            <w:vAlign w:val="center"/>
          </w:tcPr>
          <w:p>
            <w:r/>
            <w:r>
              <w:rPr>
                <w:rFonts w:ascii="Arial" w:hAnsi="Arial"/>
                <w:b w:val="0"/>
                <w:sz w:val="15"/>
              </w:rPr>
              <w:t>Healthy-volunteer plasma Vc CAZ / AVI</w:t>
            </w:r>
          </w:p>
        </w:tc>
        <w:tc>
          <w:tcPr>
            <w:tcW w:type="dxa" w:w="1704"/>
            <w:vAlign w:val="center"/>
          </w:tcPr>
          <w:p>
            <w:r/>
            <w:r>
              <w:rPr>
                <w:rFonts w:ascii="Arial" w:hAnsi="Arial"/>
                <w:b w:val="0"/>
                <w:sz w:val="15"/>
              </w:rPr>
              <w:t>12.2 / 12.3 L</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A13</w:t>
            </w:r>
          </w:p>
        </w:tc>
        <w:tc>
          <w:tcPr>
            <w:tcW w:type="dxa" w:w="1704"/>
            <w:vAlign w:val="center"/>
          </w:tcPr>
          <w:p>
            <w:r/>
            <w:r>
              <w:rPr>
                <w:rFonts w:ascii="Arial" w:hAnsi="Arial"/>
                <w:b w:val="0"/>
                <w:sz w:val="15"/>
              </w:rPr>
              <w:t>Healthy-volunteer IIV CL CAZ / AVI</w:t>
            </w:r>
          </w:p>
        </w:tc>
        <w:tc>
          <w:tcPr>
            <w:tcW w:type="dxa" w:w="1704"/>
            <w:vAlign w:val="center"/>
          </w:tcPr>
          <w:p>
            <w:r/>
            <w:r>
              <w:rPr>
                <w:rFonts w:ascii="Arial" w:hAnsi="Arial"/>
                <w:b w:val="0"/>
                <w:sz w:val="15"/>
              </w:rPr>
              <w:t>8.40% / 4.55% CV</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A14</w:t>
            </w:r>
          </w:p>
        </w:tc>
        <w:tc>
          <w:tcPr>
            <w:tcW w:type="dxa" w:w="1704"/>
            <w:vAlign w:val="center"/>
          </w:tcPr>
          <w:p>
            <w:r/>
            <w:r>
              <w:rPr>
                <w:rFonts w:ascii="Arial" w:hAnsi="Arial"/>
                <w:b w:val="0"/>
                <w:sz w:val="15"/>
              </w:rPr>
              <w:t>CSF combined CAZ–AVI PTA</w:t>
            </w:r>
          </w:p>
        </w:tc>
        <w:tc>
          <w:tcPr>
            <w:tcW w:type="dxa" w:w="1704"/>
            <w:vAlign w:val="center"/>
          </w:tcPr>
          <w:p>
            <w:r/>
            <w:r>
              <w:rPr>
                <w:rFonts w:ascii="Arial" w:hAnsi="Arial"/>
                <w:b w:val="0"/>
                <w:sz w:val="15"/>
              </w:rPr>
              <w:t>0% under the reported combined target</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r>
        <w:tc>
          <w:tcPr>
            <w:tcW w:type="dxa" w:w="1704"/>
            <w:vAlign w:val="center"/>
          </w:tcPr>
          <w:p>
            <w:r/>
            <w:r>
              <w:rPr>
                <w:rFonts w:ascii="Arial" w:hAnsi="Arial"/>
                <w:b w:val="0"/>
                <w:sz w:val="15"/>
              </w:rPr>
              <w:t>A15</w:t>
            </w:r>
          </w:p>
        </w:tc>
        <w:tc>
          <w:tcPr>
            <w:tcW w:type="dxa" w:w="1704"/>
            <w:vAlign w:val="center"/>
          </w:tcPr>
          <w:p>
            <w:r/>
            <w:r>
              <w:rPr>
                <w:rFonts w:ascii="Arial" w:hAnsi="Arial"/>
                <w:b w:val="0"/>
                <w:sz w:val="15"/>
              </w:rPr>
              <w:t>CI renal-stratified PTA/CFR pattern</w:t>
            </w:r>
          </w:p>
        </w:tc>
        <w:tc>
          <w:tcPr>
            <w:tcW w:type="dxa" w:w="1704"/>
            <w:vAlign w:val="center"/>
          </w:tcPr>
          <w:p>
            <w:r/>
            <w:r>
              <w:rPr>
                <w:rFonts w:ascii="Arial" w:hAnsi="Arial"/>
                <w:b w:val="0"/>
                <w:sz w:val="15"/>
              </w:rPr>
              <w:t>No permissible regimen achieved optimal PTA through MIC 8 mg/L; best regimens achieved optimal PTA through MIC 4 mg/L in selected eGFR strata</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w:t>
            </w:r>
          </w:p>
        </w:tc>
        <w:tc>
          <w:tcPr>
            <w:tcW w:type="dxa" w:w="1704"/>
            <w:vAlign w:val="center"/>
          </w:tcPr>
          <w:p>
            <w:r/>
            <w:r>
              <w:rPr>
                <w:rFonts w:ascii="Arial" w:hAnsi="Arial"/>
                <w:b w:val="0"/>
                <w:sz w:val="15"/>
              </w:rPr>
              <w:t>PENDING_ARTIFACT_INGESTION</w:t>
            </w:r>
          </w:p>
        </w:tc>
      </w:tr>
    </w:tbl>
    <w:p/>
    <w:p>
      <w:pPr>
        <w:pStyle w:val="Heading1"/>
      </w:pPr>
      <w:r>
        <w:t>7. Acceptance rules</w:t>
      </w:r>
    </w:p>
    <w:p>
      <w:r>
        <w:t>These are prospective validation rules and must be applied before inspecting the final comparison results:</w:t>
      </w:r>
    </w:p>
    <w:p>
      <w:pPr>
        <w:pStyle w:val="ListBullet"/>
      </w:pPr>
      <w:r>
        <w:t>Exact reproduction is not required when the evidence-composite population differs from the publication population.</w:t>
      </w:r>
    </w:p>
    <w:p>
      <w:pPr>
        <w:pStyle w:val="ListBullet"/>
      </w:pPr>
      <w:r>
        <w:t>For direct reproduction scenarios, absolute PTA/CFR difference ≤5 percentage points is a provisional pass; 5–10 points requires review; &gt;10 points fails unless a documented population or target-policy difference explains it.</w:t>
      </w:r>
    </w:p>
    <w:p>
      <w:pPr>
        <w:pStyle w:val="ListBullet"/>
      </w:pPr>
      <w:r>
        <w:t>For observed clinical proportions, use binomial uncertainty and directional consistency rather than treating the observed percentage as a deterministic PTA.</w:t>
      </w:r>
    </w:p>
    <w:p>
      <w:pPr>
        <w:pStyle w:val="ListBullet"/>
      </w:pPr>
      <w:r>
        <w:t>Median concentration or clearance comparisons should report ratio, percent difference, and overlap of uncertainty intervals when available.</w:t>
      </w:r>
    </w:p>
    <w:p>
      <w:pPr>
        <w:pStyle w:val="ListBullet"/>
      </w:pPr>
      <w:r>
        <w:t>The CSF 0% combined PTA result is a negative-control benchmark and must not be used to invalidate a plasma-only model.</w:t>
      </w:r>
    </w:p>
    <w:p>
      <w:pPr>
        <w:pStyle w:val="ListBullet"/>
      </w:pPr>
      <w:r>
        <w:t>A model cannot pass calibration if ceftazidime and avibactam are collapsed into one PK profile or if the component-specific joint target is replaced by a single combination coefficient.</w:t>
      </w:r>
    </w:p>
    <w:p>
      <w:pPr>
        <w:pStyle w:val="Heading1"/>
      </w:pPr>
      <w:r>
        <w:t>8. Sensitivity and scenario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6"/>
              </w:rPr>
              <w:t>Scenario ID</w:t>
            </w:r>
          </w:p>
        </w:tc>
        <w:tc>
          <w:tcPr>
            <w:tcW w:type="dxa" w:w="2556"/>
            <w:vAlign w:val="center"/>
            <w:shd w:fill="D9EAF7"/>
          </w:tcPr>
          <w:p>
            <w:r/>
            <w:r>
              <w:rPr>
                <w:rFonts w:ascii="Arial" w:hAnsi="Arial"/>
                <w:b/>
                <w:sz w:val="16"/>
              </w:rPr>
              <w:t>Scenario</w:t>
            </w:r>
          </w:p>
        </w:tc>
        <w:tc>
          <w:tcPr>
            <w:tcW w:type="dxa" w:w="2556"/>
            <w:vAlign w:val="center"/>
            <w:shd w:fill="D9EAF7"/>
          </w:tcPr>
          <w:p>
            <w:r/>
            <w:r>
              <w:rPr>
                <w:rFonts w:ascii="Arial" w:hAnsi="Arial"/>
                <w:b/>
                <w:sz w:val="16"/>
              </w:rPr>
              <w:t>Perturbation</w:t>
            </w:r>
          </w:p>
        </w:tc>
        <w:tc>
          <w:tcPr>
            <w:tcW w:type="dxa" w:w="2556"/>
            <w:vAlign w:val="center"/>
            <w:shd w:fill="D9EAF7"/>
          </w:tcPr>
          <w:p>
            <w:r/>
            <w:r>
              <w:rPr>
                <w:rFonts w:ascii="Arial" w:hAnsi="Arial"/>
                <w:b/>
                <w:sz w:val="16"/>
              </w:rPr>
              <w:t>Required output</w:t>
            </w:r>
          </w:p>
        </w:tc>
      </w:tr>
      <w:tr>
        <w:tc>
          <w:tcPr>
            <w:tcW w:type="dxa" w:w="2556"/>
            <w:vAlign w:val="center"/>
          </w:tcPr>
          <w:p>
            <w:r/>
            <w:r>
              <w:rPr>
                <w:rFonts w:ascii="Arial" w:hAnsi="Arial"/>
                <w:b w:val="0"/>
                <w:sz w:val="15"/>
              </w:rPr>
              <w:t>SCN-01</w:t>
            </w:r>
          </w:p>
        </w:tc>
        <w:tc>
          <w:tcPr>
            <w:tcW w:type="dxa" w:w="2556"/>
            <w:vAlign w:val="center"/>
          </w:tcPr>
          <w:p>
            <w:r/>
            <w:r>
              <w:rPr>
                <w:rFonts w:ascii="Arial" w:hAnsi="Arial"/>
                <w:b w:val="0"/>
                <w:sz w:val="15"/>
              </w:rPr>
              <w:t>Reported-evidence-only</w:t>
            </w:r>
          </w:p>
        </w:tc>
        <w:tc>
          <w:tcPr>
            <w:tcW w:type="dxa" w:w="2556"/>
            <w:vAlign w:val="center"/>
          </w:tcPr>
          <w:p>
            <w:r/>
            <w:r>
              <w:rPr>
                <w:rFonts w:ascii="Arial" w:hAnsi="Arial"/>
                <w:b w:val="0"/>
                <w:sz w:val="15"/>
              </w:rPr>
              <w:t>No imputation beyond explicit equations</w:t>
            </w:r>
          </w:p>
        </w:tc>
        <w:tc>
          <w:tcPr>
            <w:tcW w:type="dxa" w:w="2556"/>
            <w:vAlign w:val="center"/>
          </w:tcPr>
          <w:p>
            <w:r/>
            <w:r>
              <w:rPr>
                <w:rFonts w:ascii="Arial" w:hAnsi="Arial"/>
                <w:b w:val="0"/>
                <w:sz w:val="15"/>
              </w:rPr>
              <w:t>PTA by MIC, joint PTA, CFR, exposure summaries</w:t>
            </w:r>
          </w:p>
        </w:tc>
      </w:tr>
      <w:tr>
        <w:tc>
          <w:tcPr>
            <w:tcW w:type="dxa" w:w="2556"/>
            <w:vAlign w:val="center"/>
          </w:tcPr>
          <w:p>
            <w:r/>
            <w:r>
              <w:rPr>
                <w:rFonts w:ascii="Arial" w:hAnsi="Arial"/>
                <w:b w:val="0"/>
                <w:sz w:val="15"/>
              </w:rPr>
              <w:t>SCN-02</w:t>
            </w:r>
          </w:p>
        </w:tc>
        <w:tc>
          <w:tcPr>
            <w:tcW w:type="dxa" w:w="2556"/>
            <w:vAlign w:val="center"/>
          </w:tcPr>
          <w:p>
            <w:r/>
            <w:r>
              <w:rPr>
                <w:rFonts w:ascii="Arial" w:hAnsi="Arial"/>
                <w:b w:val="0"/>
                <w:sz w:val="15"/>
              </w:rPr>
              <w:t>Preferred composite</w:t>
            </w:r>
          </w:p>
        </w:tc>
        <w:tc>
          <w:tcPr>
            <w:tcW w:type="dxa" w:w="2556"/>
            <w:vAlign w:val="center"/>
          </w:tcPr>
          <w:p>
            <w:r/>
            <w:r>
              <w:rPr>
                <w:rFonts w:ascii="Arial" w:hAnsi="Arial"/>
                <w:b w:val="0"/>
                <w:sz w:val="15"/>
              </w:rPr>
              <w:t>Approved donor components</w:t>
            </w:r>
          </w:p>
        </w:tc>
        <w:tc>
          <w:tcPr>
            <w:tcW w:type="dxa" w:w="2556"/>
            <w:vAlign w:val="center"/>
          </w:tcPr>
          <w:p>
            <w:r/>
            <w:r>
              <w:rPr>
                <w:rFonts w:ascii="Arial" w:hAnsi="Arial"/>
                <w:b w:val="0"/>
                <w:sz w:val="15"/>
              </w:rPr>
              <w:t>Same outputs + provenance manifest</w:t>
            </w:r>
          </w:p>
        </w:tc>
      </w:tr>
      <w:tr>
        <w:tc>
          <w:tcPr>
            <w:tcW w:type="dxa" w:w="2556"/>
            <w:vAlign w:val="center"/>
          </w:tcPr>
          <w:p>
            <w:r/>
            <w:r>
              <w:rPr>
                <w:rFonts w:ascii="Arial" w:hAnsi="Arial"/>
                <w:b w:val="0"/>
                <w:sz w:val="15"/>
              </w:rPr>
              <w:t>SCN-03</w:t>
            </w:r>
          </w:p>
        </w:tc>
        <w:tc>
          <w:tcPr>
            <w:tcW w:type="dxa" w:w="2556"/>
            <w:vAlign w:val="center"/>
          </w:tcPr>
          <w:p>
            <w:r/>
            <w:r>
              <w:rPr>
                <w:rFonts w:ascii="Arial" w:hAnsi="Arial"/>
                <w:b w:val="0"/>
                <w:sz w:val="15"/>
              </w:rPr>
              <w:t>Alternative renal equation</w:t>
            </w:r>
          </w:p>
        </w:tc>
        <w:tc>
          <w:tcPr>
            <w:tcW w:type="dxa" w:w="2556"/>
            <w:vAlign w:val="center"/>
          </w:tcPr>
          <w:p>
            <w:r/>
            <w:r>
              <w:rPr>
                <w:rFonts w:ascii="Arial" w:hAnsi="Arial"/>
                <w:b w:val="0"/>
                <w:sz w:val="15"/>
              </w:rPr>
              <w:t>EKFC versus alternative documented renal function mapping</w:t>
            </w:r>
          </w:p>
        </w:tc>
        <w:tc>
          <w:tcPr>
            <w:tcW w:type="dxa" w:w="2556"/>
            <w:vAlign w:val="center"/>
          </w:tcPr>
          <w:p>
            <w:r/>
            <w:r>
              <w:rPr>
                <w:rFonts w:ascii="Arial" w:hAnsi="Arial"/>
                <w:b w:val="0"/>
                <w:sz w:val="15"/>
              </w:rPr>
              <w:t>PTA/CFR by renal stratum</w:t>
            </w:r>
          </w:p>
        </w:tc>
      </w:tr>
      <w:tr>
        <w:tc>
          <w:tcPr>
            <w:tcW w:type="dxa" w:w="2556"/>
            <w:vAlign w:val="center"/>
          </w:tcPr>
          <w:p>
            <w:r/>
            <w:r>
              <w:rPr>
                <w:rFonts w:ascii="Arial" w:hAnsi="Arial"/>
                <w:b w:val="0"/>
                <w:sz w:val="15"/>
              </w:rPr>
              <w:t>SCN-04</w:t>
            </w:r>
          </w:p>
        </w:tc>
        <w:tc>
          <w:tcPr>
            <w:tcW w:type="dxa" w:w="2556"/>
            <w:vAlign w:val="center"/>
          </w:tcPr>
          <w:p>
            <w:r/>
            <w:r>
              <w:rPr>
                <w:rFonts w:ascii="Arial" w:hAnsi="Arial"/>
                <w:b w:val="0"/>
                <w:sz w:val="15"/>
              </w:rPr>
              <w:t>Low variability</w:t>
            </w:r>
          </w:p>
        </w:tc>
        <w:tc>
          <w:tcPr>
            <w:tcW w:type="dxa" w:w="2556"/>
            <w:vAlign w:val="center"/>
          </w:tcPr>
          <w:p>
            <w:r/>
            <w:r>
              <w:rPr>
                <w:rFonts w:ascii="Arial" w:hAnsi="Arial"/>
                <w:b w:val="0"/>
                <w:sz w:val="15"/>
              </w:rPr>
              <w:t>Lower plausible IIV bounds</w:t>
            </w:r>
          </w:p>
        </w:tc>
        <w:tc>
          <w:tcPr>
            <w:tcW w:type="dxa" w:w="2556"/>
            <w:vAlign w:val="center"/>
          </w:tcPr>
          <w:p>
            <w:r/>
            <w:r>
              <w:rPr>
                <w:rFonts w:ascii="Arial" w:hAnsi="Arial"/>
                <w:b w:val="0"/>
                <w:sz w:val="15"/>
              </w:rPr>
              <w:t>PTA/CFR and tail exposure</w:t>
            </w:r>
          </w:p>
        </w:tc>
      </w:tr>
      <w:tr>
        <w:tc>
          <w:tcPr>
            <w:tcW w:type="dxa" w:w="2556"/>
            <w:vAlign w:val="center"/>
          </w:tcPr>
          <w:p>
            <w:r/>
            <w:r>
              <w:rPr>
                <w:rFonts w:ascii="Arial" w:hAnsi="Arial"/>
                <w:b w:val="0"/>
                <w:sz w:val="15"/>
              </w:rPr>
              <w:t>SCN-05</w:t>
            </w:r>
          </w:p>
        </w:tc>
        <w:tc>
          <w:tcPr>
            <w:tcW w:type="dxa" w:w="2556"/>
            <w:vAlign w:val="center"/>
          </w:tcPr>
          <w:p>
            <w:r/>
            <w:r>
              <w:rPr>
                <w:rFonts w:ascii="Arial" w:hAnsi="Arial"/>
                <w:b w:val="0"/>
                <w:sz w:val="15"/>
              </w:rPr>
              <w:t>High variability</w:t>
            </w:r>
          </w:p>
        </w:tc>
        <w:tc>
          <w:tcPr>
            <w:tcW w:type="dxa" w:w="2556"/>
            <w:vAlign w:val="center"/>
          </w:tcPr>
          <w:p>
            <w:r/>
            <w:r>
              <w:rPr>
                <w:rFonts w:ascii="Arial" w:hAnsi="Arial"/>
                <w:b w:val="0"/>
                <w:sz w:val="15"/>
              </w:rPr>
              <w:t>Upper plausible IIV bounds</w:t>
            </w:r>
          </w:p>
        </w:tc>
        <w:tc>
          <w:tcPr>
            <w:tcW w:type="dxa" w:w="2556"/>
            <w:vAlign w:val="center"/>
          </w:tcPr>
          <w:p>
            <w:r/>
            <w:r>
              <w:rPr>
                <w:rFonts w:ascii="Arial" w:hAnsi="Arial"/>
                <w:b w:val="0"/>
                <w:sz w:val="15"/>
              </w:rPr>
              <w:t>PTA/CFR and tail exposure</w:t>
            </w:r>
          </w:p>
        </w:tc>
      </w:tr>
      <w:tr>
        <w:tc>
          <w:tcPr>
            <w:tcW w:type="dxa" w:w="2556"/>
            <w:vAlign w:val="center"/>
          </w:tcPr>
          <w:p>
            <w:r/>
            <w:r>
              <w:rPr>
                <w:rFonts w:ascii="Arial" w:hAnsi="Arial"/>
                <w:b w:val="0"/>
                <w:sz w:val="15"/>
              </w:rPr>
              <w:t>SCN-06</w:t>
            </w:r>
          </w:p>
        </w:tc>
        <w:tc>
          <w:tcPr>
            <w:tcW w:type="dxa" w:w="2556"/>
            <w:vAlign w:val="center"/>
          </w:tcPr>
          <w:p>
            <w:r/>
            <w:r>
              <w:rPr>
                <w:rFonts w:ascii="Arial" w:hAnsi="Arial"/>
                <w:b w:val="0"/>
                <w:sz w:val="15"/>
              </w:rPr>
              <w:t>Binding policy</w:t>
            </w:r>
          </w:p>
        </w:tc>
        <w:tc>
          <w:tcPr>
            <w:tcW w:type="dxa" w:w="2556"/>
            <w:vAlign w:val="center"/>
          </w:tcPr>
          <w:p>
            <w:r/>
            <w:r>
              <w:rPr>
                <w:rFonts w:ascii="Arial" w:hAnsi="Arial"/>
                <w:b w:val="0"/>
                <w:sz w:val="15"/>
              </w:rPr>
              <w:t>Study-specific fu versus harmonized fu</w:t>
            </w:r>
          </w:p>
        </w:tc>
        <w:tc>
          <w:tcPr>
            <w:tcW w:type="dxa" w:w="2556"/>
            <w:vAlign w:val="center"/>
          </w:tcPr>
          <w:p>
            <w:r/>
            <w:r>
              <w:rPr>
                <w:rFonts w:ascii="Arial" w:hAnsi="Arial"/>
                <w:b w:val="0"/>
                <w:sz w:val="15"/>
              </w:rPr>
              <w:t>Free-exposure differences</w:t>
            </w:r>
          </w:p>
        </w:tc>
      </w:tr>
      <w:tr>
        <w:tc>
          <w:tcPr>
            <w:tcW w:type="dxa" w:w="2556"/>
            <w:vAlign w:val="center"/>
          </w:tcPr>
          <w:p>
            <w:r/>
            <w:r>
              <w:rPr>
                <w:rFonts w:ascii="Arial" w:hAnsi="Arial"/>
                <w:b w:val="0"/>
                <w:sz w:val="15"/>
              </w:rPr>
              <w:t>SCN-07</w:t>
            </w:r>
          </w:p>
        </w:tc>
        <w:tc>
          <w:tcPr>
            <w:tcW w:type="dxa" w:w="2556"/>
            <w:vAlign w:val="center"/>
          </w:tcPr>
          <w:p>
            <w:r/>
            <w:r>
              <w:rPr>
                <w:rFonts w:ascii="Arial" w:hAnsi="Arial"/>
                <w:b w:val="0"/>
                <w:sz w:val="15"/>
              </w:rPr>
              <w:t>Target policy</w:t>
            </w:r>
          </w:p>
        </w:tc>
        <w:tc>
          <w:tcPr>
            <w:tcW w:type="dxa" w:w="2556"/>
            <w:vAlign w:val="center"/>
          </w:tcPr>
          <w:p>
            <w:r/>
            <w:r>
              <w:rPr>
                <w:rFonts w:ascii="Arial" w:hAnsi="Arial"/>
                <w:b w:val="0"/>
                <w:sz w:val="15"/>
              </w:rPr>
              <w:t>Conservative versus aggressive joint targets</w:t>
            </w:r>
          </w:p>
        </w:tc>
        <w:tc>
          <w:tcPr>
            <w:tcW w:type="dxa" w:w="2556"/>
            <w:vAlign w:val="center"/>
          </w:tcPr>
          <w:p>
            <w:r/>
            <w:r>
              <w:rPr>
                <w:rFonts w:ascii="Arial" w:hAnsi="Arial"/>
                <w:b w:val="0"/>
                <w:sz w:val="15"/>
              </w:rPr>
              <w:t>PTA shift</w:t>
            </w:r>
          </w:p>
        </w:tc>
      </w:tr>
      <w:tr>
        <w:tc>
          <w:tcPr>
            <w:tcW w:type="dxa" w:w="2556"/>
            <w:vAlign w:val="center"/>
          </w:tcPr>
          <w:p>
            <w:r/>
            <w:r>
              <w:rPr>
                <w:rFonts w:ascii="Arial" w:hAnsi="Arial"/>
                <w:b w:val="0"/>
                <w:sz w:val="15"/>
              </w:rPr>
              <w:t>SCN-08</w:t>
            </w:r>
          </w:p>
        </w:tc>
        <w:tc>
          <w:tcPr>
            <w:tcW w:type="dxa" w:w="2556"/>
            <w:vAlign w:val="center"/>
          </w:tcPr>
          <w:p>
            <w:r/>
            <w:r>
              <w:rPr>
                <w:rFonts w:ascii="Arial" w:hAnsi="Arial"/>
                <w:b w:val="0"/>
                <w:sz w:val="15"/>
              </w:rPr>
              <w:t>MIC distribution</w:t>
            </w:r>
          </w:p>
        </w:tc>
        <w:tc>
          <w:tcPr>
            <w:tcW w:type="dxa" w:w="2556"/>
            <w:vAlign w:val="center"/>
          </w:tcPr>
          <w:p>
            <w:r/>
            <w:r>
              <w:rPr>
                <w:rFonts w:ascii="Arial" w:hAnsi="Arial"/>
                <w:b w:val="0"/>
                <w:sz w:val="15"/>
              </w:rPr>
              <w:t>KPC-Kp, OXA-48-Kp, OXA-48 Enterobacterales</w:t>
            </w:r>
          </w:p>
        </w:tc>
        <w:tc>
          <w:tcPr>
            <w:tcW w:type="dxa" w:w="2556"/>
            <w:vAlign w:val="center"/>
          </w:tcPr>
          <w:p>
            <w:r/>
            <w:r>
              <w:rPr>
                <w:rFonts w:ascii="Arial" w:hAnsi="Arial"/>
                <w:b w:val="0"/>
                <w:sz w:val="15"/>
              </w:rPr>
              <w:t>CFR and target-bacteria delta</w:t>
            </w:r>
          </w:p>
        </w:tc>
      </w:tr>
      <w:tr>
        <w:tc>
          <w:tcPr>
            <w:tcW w:type="dxa" w:w="2556"/>
            <w:vAlign w:val="center"/>
          </w:tcPr>
          <w:p>
            <w:r/>
            <w:r>
              <w:rPr>
                <w:rFonts w:ascii="Arial" w:hAnsi="Arial"/>
                <w:b w:val="0"/>
                <w:sz w:val="15"/>
              </w:rPr>
              <w:t>SCN-09</w:t>
            </w:r>
          </w:p>
        </w:tc>
        <w:tc>
          <w:tcPr>
            <w:tcW w:type="dxa" w:w="2556"/>
            <w:vAlign w:val="center"/>
          </w:tcPr>
          <w:p>
            <w:r/>
            <w:r>
              <w:rPr>
                <w:rFonts w:ascii="Arial" w:hAnsi="Arial"/>
                <w:b w:val="0"/>
                <w:sz w:val="15"/>
              </w:rPr>
              <w:t>Special population</w:t>
            </w:r>
          </w:p>
        </w:tc>
        <w:tc>
          <w:tcPr>
            <w:tcW w:type="dxa" w:w="2556"/>
            <w:vAlign w:val="center"/>
          </w:tcPr>
          <w:p>
            <w:r/>
            <w:r>
              <w:rPr>
                <w:rFonts w:ascii="Arial" w:hAnsi="Arial"/>
                <w:b w:val="0"/>
                <w:sz w:val="15"/>
              </w:rPr>
              <w:t>ECMO / CVVHDF / non-RRT</w:t>
            </w:r>
          </w:p>
        </w:tc>
        <w:tc>
          <w:tcPr>
            <w:tcW w:type="dxa" w:w="2556"/>
            <w:vAlign w:val="center"/>
          </w:tcPr>
          <w:p>
            <w:r/>
            <w:r>
              <w:rPr>
                <w:rFonts w:ascii="Arial" w:hAnsi="Arial"/>
                <w:b w:val="0"/>
                <w:sz w:val="15"/>
              </w:rPr>
              <w:t>External validity stratification</w:t>
            </w:r>
          </w:p>
        </w:tc>
      </w:tr>
      <w:tr>
        <w:tc>
          <w:tcPr>
            <w:tcW w:type="dxa" w:w="2556"/>
            <w:vAlign w:val="center"/>
          </w:tcPr>
          <w:p>
            <w:r/>
            <w:r>
              <w:rPr>
                <w:rFonts w:ascii="Arial" w:hAnsi="Arial"/>
                <w:b w:val="0"/>
                <w:sz w:val="15"/>
              </w:rPr>
              <w:t>SCN-10</w:t>
            </w:r>
          </w:p>
        </w:tc>
        <w:tc>
          <w:tcPr>
            <w:tcW w:type="dxa" w:w="2556"/>
            <w:vAlign w:val="center"/>
          </w:tcPr>
          <w:p>
            <w:r/>
            <w:r>
              <w:rPr>
                <w:rFonts w:ascii="Arial" w:hAnsi="Arial"/>
                <w:b w:val="0"/>
                <w:sz w:val="15"/>
              </w:rPr>
              <w:t>Tissue site</w:t>
            </w:r>
          </w:p>
        </w:tc>
        <w:tc>
          <w:tcPr>
            <w:tcW w:type="dxa" w:w="2556"/>
            <w:vAlign w:val="center"/>
          </w:tcPr>
          <w:p>
            <w:r/>
            <w:r>
              <w:rPr>
                <w:rFonts w:ascii="Arial" w:hAnsi="Arial"/>
                <w:b w:val="0"/>
                <w:sz w:val="15"/>
              </w:rPr>
              <w:t>Plasma versus CSF</w:t>
            </w:r>
          </w:p>
        </w:tc>
        <w:tc>
          <w:tcPr>
            <w:tcW w:type="dxa" w:w="2556"/>
            <w:vAlign w:val="center"/>
          </w:tcPr>
          <w:p>
            <w:r/>
            <w:r>
              <w:rPr>
                <w:rFonts w:ascii="Arial" w:hAnsi="Arial"/>
                <w:b w:val="0"/>
                <w:sz w:val="15"/>
              </w:rPr>
              <w:t>Site-specific PTA; no cross-site pooling</w:t>
            </w:r>
          </w:p>
        </w:tc>
      </w:tr>
    </w:tbl>
    <w:p/>
    <w:p>
      <w:pPr>
        <w:pStyle w:val="Heading1"/>
      </w:pPr>
      <w:r>
        <w:t>9. Monte Carlo convergence assessment</w:t>
      </w:r>
    </w:p>
    <w:p>
      <w:r>
        <w:t>Although the pilot used 100,000 virtual subjects, convergence must be demonstrated rather than assumed. Re-run identical scenarios at n = 1,000, 5,000, 10,000, 50,000, and 100,000 using fixed seed families. For each MIC and regimen, calculate the absolute PTA difference from the 100,000-subject estimate and the Monte Carlo standard error sqrt[p(1-p)/n].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6"/>
              </w:rPr>
              <w:t>Criterion</w:t>
            </w:r>
          </w:p>
        </w:tc>
        <w:tc>
          <w:tcPr>
            <w:tcW w:type="dxa" w:w="5112"/>
            <w:vAlign w:val="center"/>
            <w:shd w:fill="D9EAF7"/>
          </w:tcPr>
          <w:p>
            <w:r/>
            <w:r>
              <w:rPr>
                <w:rFonts w:ascii="Arial" w:hAnsi="Arial"/>
                <w:b/>
                <w:sz w:val="16"/>
              </w:rPr>
              <w:t>Provisional requirement</w:t>
            </w:r>
          </w:p>
        </w:tc>
      </w:tr>
      <w:tr>
        <w:tc>
          <w:tcPr>
            <w:tcW w:type="dxa" w:w="5112"/>
            <w:vAlign w:val="center"/>
          </w:tcPr>
          <w:p>
            <w:r/>
            <w:r>
              <w:rPr>
                <w:rFonts w:ascii="Arial" w:hAnsi="Arial"/>
                <w:b w:val="0"/>
                <w:sz w:val="15"/>
              </w:rPr>
              <w:t>Primary PTA stability</w:t>
            </w:r>
          </w:p>
        </w:tc>
        <w:tc>
          <w:tcPr>
            <w:tcW w:type="dxa" w:w="5112"/>
            <w:vAlign w:val="center"/>
          </w:tcPr>
          <w:p>
            <w:r/>
            <w:r>
              <w:rPr>
                <w:rFonts w:ascii="Arial" w:hAnsi="Arial"/>
                <w:b w:val="0"/>
                <w:sz w:val="15"/>
              </w:rPr>
              <w:t>Maximum absolute difference between 50,000 and 100,000 ≤0.5 percentage points</w:t>
            </w:r>
          </w:p>
        </w:tc>
      </w:tr>
      <w:tr>
        <w:tc>
          <w:tcPr>
            <w:tcW w:type="dxa" w:w="5112"/>
            <w:vAlign w:val="center"/>
          </w:tcPr>
          <w:p>
            <w:r/>
            <w:r>
              <w:rPr>
                <w:rFonts w:ascii="Arial" w:hAnsi="Arial"/>
                <w:b w:val="0"/>
                <w:sz w:val="15"/>
              </w:rPr>
              <w:t>CFR stability</w:t>
            </w:r>
          </w:p>
        </w:tc>
        <w:tc>
          <w:tcPr>
            <w:tcW w:type="dxa" w:w="5112"/>
            <w:vAlign w:val="center"/>
          </w:tcPr>
          <w:p>
            <w:r/>
            <w:r>
              <w:rPr>
                <w:rFonts w:ascii="Arial" w:hAnsi="Arial"/>
                <w:b w:val="0"/>
                <w:sz w:val="15"/>
              </w:rPr>
              <w:t>Absolute difference ≤0.5 percentage points</w:t>
            </w:r>
          </w:p>
        </w:tc>
      </w:tr>
      <w:tr>
        <w:tc>
          <w:tcPr>
            <w:tcW w:type="dxa" w:w="5112"/>
            <w:vAlign w:val="center"/>
          </w:tcPr>
          <w:p>
            <w:r/>
            <w:r>
              <w:rPr>
                <w:rFonts w:ascii="Arial" w:hAnsi="Arial"/>
                <w:b w:val="0"/>
                <w:sz w:val="15"/>
              </w:rPr>
              <w:t>Rare subgroup stability</w:t>
            </w:r>
          </w:p>
        </w:tc>
        <w:tc>
          <w:tcPr>
            <w:tcW w:type="dxa" w:w="5112"/>
            <w:vAlign w:val="center"/>
          </w:tcPr>
          <w:p>
            <w:r/>
            <w:r>
              <w:rPr>
                <w:rFonts w:ascii="Arial" w:hAnsi="Arial"/>
                <w:b w:val="0"/>
                <w:sz w:val="15"/>
              </w:rPr>
              <w:t>Monte Carlo SE reported; enlarge n if precision target is not met</w:t>
            </w:r>
          </w:p>
        </w:tc>
      </w:tr>
      <w:tr>
        <w:tc>
          <w:tcPr>
            <w:tcW w:type="dxa" w:w="5112"/>
            <w:vAlign w:val="center"/>
          </w:tcPr>
          <w:p>
            <w:r/>
            <w:r>
              <w:rPr>
                <w:rFonts w:ascii="Arial" w:hAnsi="Arial"/>
                <w:b w:val="0"/>
                <w:sz w:val="15"/>
              </w:rPr>
              <w:t>Determinism</w:t>
            </w:r>
          </w:p>
        </w:tc>
        <w:tc>
          <w:tcPr>
            <w:tcW w:type="dxa" w:w="5112"/>
            <w:vAlign w:val="center"/>
          </w:tcPr>
          <w:p>
            <w:r/>
            <w:r>
              <w:rPr>
                <w:rFonts w:ascii="Arial" w:hAnsi="Arial"/>
                <w:b w:val="0"/>
                <w:sz w:val="15"/>
              </w:rPr>
              <w:t>Same inputs + same seed + same software version reproduce checksums</w:t>
            </w:r>
          </w:p>
        </w:tc>
      </w:tr>
      <w:tr>
        <w:tc>
          <w:tcPr>
            <w:tcW w:type="dxa" w:w="5112"/>
            <w:vAlign w:val="center"/>
          </w:tcPr>
          <w:p>
            <w:r/>
            <w:r>
              <w:rPr>
                <w:rFonts w:ascii="Arial" w:hAnsi="Arial"/>
                <w:b w:val="0"/>
                <w:sz w:val="15"/>
              </w:rPr>
              <w:t>Seed robustness</w:t>
            </w:r>
          </w:p>
        </w:tc>
        <w:tc>
          <w:tcPr>
            <w:tcW w:type="dxa" w:w="5112"/>
            <w:vAlign w:val="center"/>
          </w:tcPr>
          <w:p>
            <w:r/>
            <w:r>
              <w:rPr>
                <w:rFonts w:ascii="Arial" w:hAnsi="Arial"/>
                <w:b w:val="0"/>
                <w:sz w:val="15"/>
              </w:rPr>
              <w:t>Key conclusions unchanged across at least five independent seeds</w:t>
            </w:r>
          </w:p>
        </w:tc>
      </w:tr>
    </w:tbl>
    <w:p/>
    <w:p>
      <w:pPr>
        <w:pStyle w:val="Heading1"/>
      </w:pPr>
      <w:r>
        <w:t>10. Reproducibility manifest required to complete this report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6"/>
              </w:rPr>
              <w:t>Artifact</w:t>
            </w:r>
          </w:p>
        </w:tc>
        <w:tc>
          <w:tcPr>
            <w:tcW w:type="dxa" w:w="5112"/>
            <w:vAlign w:val="center"/>
            <w:shd w:fill="D9EAF7"/>
          </w:tcPr>
          <w:p>
            <w:r/>
            <w:r>
              <w:rPr>
                <w:rFonts w:ascii="Arial" w:hAnsi="Arial"/>
                <w:b/>
                <w:sz w:val="16"/>
              </w:rPr>
              <w:t>Purpose</w:t>
            </w:r>
          </w:p>
        </w:tc>
      </w:tr>
      <w:tr>
        <w:tc>
          <w:tcPr>
            <w:tcW w:type="dxa" w:w="5112"/>
            <w:vAlign w:val="center"/>
          </w:tcPr>
          <w:p>
            <w:r/>
            <w:r>
              <w:rPr>
                <w:rFonts w:ascii="Arial" w:hAnsi="Arial"/>
                <w:b w:val="0"/>
                <w:sz w:val="15"/>
              </w:rPr>
              <w:t>simulation_input_manifest.json</w:t>
            </w:r>
          </w:p>
        </w:tc>
        <w:tc>
          <w:tcPr>
            <w:tcW w:type="dxa" w:w="5112"/>
            <w:vAlign w:val="center"/>
          </w:tcPr>
          <w:p>
            <w:r/>
            <w:r>
              <w:rPr>
                <w:rFonts w:ascii="Arial" w:hAnsi="Arial"/>
                <w:b w:val="0"/>
                <w:sz w:val="15"/>
              </w:rPr>
              <w:t>Input file checksums, scenario IDs, provenance links</w:t>
            </w:r>
          </w:p>
        </w:tc>
      </w:tr>
      <w:tr>
        <w:tc>
          <w:tcPr>
            <w:tcW w:type="dxa" w:w="5112"/>
            <w:vAlign w:val="center"/>
          </w:tcPr>
          <w:p>
            <w:r/>
            <w:r>
              <w:rPr>
                <w:rFonts w:ascii="Arial" w:hAnsi="Arial"/>
                <w:b w:val="0"/>
                <w:sz w:val="15"/>
              </w:rPr>
              <w:t>pk_parameters.csv</w:t>
            </w:r>
          </w:p>
        </w:tc>
        <w:tc>
          <w:tcPr>
            <w:tcW w:type="dxa" w:w="5112"/>
            <w:vAlign w:val="center"/>
          </w:tcPr>
          <w:p>
            <w:r/>
            <w:r>
              <w:rPr>
                <w:rFonts w:ascii="Arial" w:hAnsi="Arial"/>
                <w:b w:val="0"/>
                <w:sz w:val="15"/>
              </w:rPr>
              <w:t>Component-specific structural and variability parameters</w:t>
            </w:r>
          </w:p>
        </w:tc>
      </w:tr>
      <w:tr>
        <w:tc>
          <w:tcPr>
            <w:tcW w:type="dxa" w:w="5112"/>
            <w:vAlign w:val="center"/>
          </w:tcPr>
          <w:p>
            <w:r/>
            <w:r>
              <w:rPr>
                <w:rFonts w:ascii="Arial" w:hAnsi="Arial"/>
                <w:b w:val="0"/>
                <w:sz w:val="15"/>
              </w:rPr>
              <w:t>population_assumptions.csv</w:t>
            </w:r>
          </w:p>
        </w:tc>
        <w:tc>
          <w:tcPr>
            <w:tcW w:type="dxa" w:w="5112"/>
            <w:vAlign w:val="center"/>
          </w:tcPr>
          <w:p>
            <w:r/>
            <w:r>
              <w:rPr>
                <w:rFonts w:ascii="Arial" w:hAnsi="Arial"/>
                <w:b w:val="0"/>
                <w:sz w:val="15"/>
              </w:rPr>
              <w:t>Age, weight, sex, renal strata, special populations</w:t>
            </w:r>
          </w:p>
        </w:tc>
      </w:tr>
      <w:tr>
        <w:tc>
          <w:tcPr>
            <w:tcW w:type="dxa" w:w="5112"/>
            <w:vAlign w:val="center"/>
          </w:tcPr>
          <w:p>
            <w:r/>
            <w:r>
              <w:rPr>
                <w:rFonts w:ascii="Arial" w:hAnsi="Arial"/>
                <w:b w:val="0"/>
                <w:sz w:val="15"/>
              </w:rPr>
              <w:t>dosing_regimens.csv</w:t>
            </w:r>
          </w:p>
        </w:tc>
        <w:tc>
          <w:tcPr>
            <w:tcW w:type="dxa" w:w="5112"/>
            <w:vAlign w:val="center"/>
          </w:tcPr>
          <w:p>
            <w:r/>
            <w:r>
              <w:rPr>
                <w:rFonts w:ascii="Arial" w:hAnsi="Arial"/>
                <w:b w:val="0"/>
                <w:sz w:val="15"/>
              </w:rPr>
              <w:t>Loading and maintenance dose, interval, infusion duration</w:t>
            </w:r>
          </w:p>
        </w:tc>
      </w:tr>
      <w:tr>
        <w:tc>
          <w:tcPr>
            <w:tcW w:type="dxa" w:w="5112"/>
            <w:vAlign w:val="center"/>
          </w:tcPr>
          <w:p>
            <w:r/>
            <w:r>
              <w:rPr>
                <w:rFonts w:ascii="Arial" w:hAnsi="Arial"/>
                <w:b w:val="0"/>
                <w:sz w:val="15"/>
              </w:rPr>
              <w:t>pd_targets.csv</w:t>
            </w:r>
          </w:p>
        </w:tc>
        <w:tc>
          <w:tcPr>
            <w:tcW w:type="dxa" w:w="5112"/>
            <w:vAlign w:val="center"/>
          </w:tcPr>
          <w:p>
            <w:r/>
            <w:r>
              <w:rPr>
                <w:rFonts w:ascii="Arial" w:hAnsi="Arial"/>
                <w:b w:val="0"/>
                <w:sz w:val="15"/>
              </w:rPr>
              <w:t>CAZ and AVI targets, MIC/CT, total/free policy</w:t>
            </w:r>
          </w:p>
        </w:tc>
      </w:tr>
      <w:tr>
        <w:tc>
          <w:tcPr>
            <w:tcW w:type="dxa" w:w="5112"/>
            <w:vAlign w:val="center"/>
          </w:tcPr>
          <w:p>
            <w:r/>
            <w:r>
              <w:rPr>
                <w:rFonts w:ascii="Arial" w:hAnsi="Arial"/>
                <w:b w:val="0"/>
                <w:sz w:val="15"/>
              </w:rPr>
              <w:t>mic_distribution.csv</w:t>
            </w:r>
          </w:p>
        </w:tc>
        <w:tc>
          <w:tcPr>
            <w:tcW w:type="dxa" w:w="5112"/>
            <w:vAlign w:val="center"/>
          </w:tcPr>
          <w:p>
            <w:r/>
            <w:r>
              <w:rPr>
                <w:rFonts w:ascii="Arial" w:hAnsi="Arial"/>
                <w:b w:val="0"/>
                <w:sz w:val="15"/>
              </w:rPr>
              <w:t>Organism and resistance-mechanism distributions</w:t>
            </w:r>
          </w:p>
        </w:tc>
      </w:tr>
      <w:tr>
        <w:tc>
          <w:tcPr>
            <w:tcW w:type="dxa" w:w="5112"/>
            <w:vAlign w:val="center"/>
          </w:tcPr>
          <w:p>
            <w:r/>
            <w:r>
              <w:rPr>
                <w:rFonts w:ascii="Arial" w:hAnsi="Arial"/>
                <w:b w:val="0"/>
                <w:sz w:val="15"/>
              </w:rPr>
              <w:t>pta_table.csv</w:t>
            </w:r>
          </w:p>
        </w:tc>
        <w:tc>
          <w:tcPr>
            <w:tcW w:type="dxa" w:w="5112"/>
            <w:vAlign w:val="center"/>
          </w:tcPr>
          <w:p>
            <w:r/>
            <w:r>
              <w:rPr>
                <w:rFonts w:ascii="Arial" w:hAnsi="Arial"/>
                <w:b w:val="0"/>
                <w:sz w:val="15"/>
              </w:rPr>
              <w:t>Regimen × MIC × population PTA</w:t>
            </w:r>
          </w:p>
        </w:tc>
      </w:tr>
      <w:tr>
        <w:tc>
          <w:tcPr>
            <w:tcW w:type="dxa" w:w="5112"/>
            <w:vAlign w:val="center"/>
          </w:tcPr>
          <w:p>
            <w:r/>
            <w:r>
              <w:rPr>
                <w:rFonts w:ascii="Arial" w:hAnsi="Arial"/>
                <w:b w:val="0"/>
                <w:sz w:val="15"/>
              </w:rPr>
              <w:t>cfr_table.csv</w:t>
            </w:r>
          </w:p>
        </w:tc>
        <w:tc>
          <w:tcPr>
            <w:tcW w:type="dxa" w:w="5112"/>
            <w:vAlign w:val="center"/>
          </w:tcPr>
          <w:p>
            <w:r/>
            <w:r>
              <w:rPr>
                <w:rFonts w:ascii="Arial" w:hAnsi="Arial"/>
                <w:b w:val="0"/>
                <w:sz w:val="15"/>
              </w:rPr>
              <w:t>Distribution-weighted CFR</w:t>
            </w:r>
          </w:p>
        </w:tc>
      </w:tr>
      <w:tr>
        <w:tc>
          <w:tcPr>
            <w:tcW w:type="dxa" w:w="5112"/>
            <w:vAlign w:val="center"/>
          </w:tcPr>
          <w:p>
            <w:r/>
            <w:r>
              <w:rPr>
                <w:rFonts w:ascii="Arial" w:hAnsi="Arial"/>
                <w:b w:val="0"/>
                <w:sz w:val="15"/>
              </w:rPr>
              <w:t>exposure_summary.csv</w:t>
            </w:r>
          </w:p>
        </w:tc>
        <w:tc>
          <w:tcPr>
            <w:tcW w:type="dxa" w:w="5112"/>
            <w:vAlign w:val="center"/>
          </w:tcPr>
          <w:p>
            <w:r/>
            <w:r>
              <w:rPr>
                <w:rFonts w:ascii="Arial" w:hAnsi="Arial"/>
                <w:b w:val="0"/>
                <w:sz w:val="15"/>
              </w:rPr>
              <w:t>AUC, Cmax, Cmin/Css and toxicity-tail summaries</w:t>
            </w:r>
          </w:p>
        </w:tc>
      </w:tr>
      <w:tr>
        <w:tc>
          <w:tcPr>
            <w:tcW w:type="dxa" w:w="5112"/>
            <w:vAlign w:val="center"/>
          </w:tcPr>
          <w:p>
            <w:r/>
            <w:r>
              <w:rPr>
                <w:rFonts w:ascii="Arial" w:hAnsi="Arial"/>
                <w:b w:val="0"/>
                <w:sz w:val="15"/>
              </w:rPr>
              <w:t>run_metadata.json</w:t>
            </w:r>
          </w:p>
        </w:tc>
        <w:tc>
          <w:tcPr>
            <w:tcW w:type="dxa" w:w="5112"/>
            <w:vAlign w:val="center"/>
          </w:tcPr>
          <w:p>
            <w:r/>
            <w:r>
              <w:rPr>
                <w:rFonts w:ascii="Arial" w:hAnsi="Arial"/>
                <w:b w:val="0"/>
                <w:sz w:val="15"/>
              </w:rPr>
              <w:t>Seed, n, timestamp, code version, environment</w:t>
            </w:r>
          </w:p>
        </w:tc>
      </w:tr>
      <w:tr>
        <w:tc>
          <w:tcPr>
            <w:tcW w:type="dxa" w:w="5112"/>
            <w:vAlign w:val="center"/>
          </w:tcPr>
          <w:p>
            <w:r/>
            <w:r>
              <w:rPr>
                <w:rFonts w:ascii="Arial" w:hAnsi="Arial"/>
                <w:b w:val="0"/>
                <w:sz w:val="15"/>
              </w:rPr>
              <w:t>bridge_validation_report.json</w:t>
            </w:r>
          </w:p>
        </w:tc>
        <w:tc>
          <w:tcPr>
            <w:tcW w:type="dxa" w:w="5112"/>
            <w:vAlign w:val="center"/>
          </w:tcPr>
          <w:p>
            <w:r/>
            <w:r>
              <w:rPr>
                <w:rFonts w:ascii="Arial" w:hAnsi="Arial"/>
                <w:b w:val="0"/>
                <w:sz w:val="15"/>
              </w:rPr>
              <w:t>Automated evidence-to-simulation linkage report</w:t>
            </w:r>
          </w:p>
        </w:tc>
      </w:tr>
      <w:tr>
        <w:tc>
          <w:tcPr>
            <w:tcW w:type="dxa" w:w="5112"/>
            <w:vAlign w:val="center"/>
          </w:tcPr>
          <w:p>
            <w:r/>
            <w:r>
              <w:rPr>
                <w:rFonts w:ascii="Arial" w:hAnsi="Arial"/>
                <w:b w:val="0"/>
                <w:sz w:val="15"/>
              </w:rPr>
              <w:t>figures/</w:t>
            </w:r>
          </w:p>
        </w:tc>
        <w:tc>
          <w:tcPr>
            <w:tcW w:type="dxa" w:w="5112"/>
            <w:vAlign w:val="center"/>
          </w:tcPr>
          <w:p>
            <w:r/>
            <w:r>
              <w:rPr>
                <w:rFonts w:ascii="Arial" w:hAnsi="Arial"/>
                <w:b w:val="0"/>
                <w:sz w:val="15"/>
              </w:rPr>
              <w:t>PTA/CFR and diagnostic plots</w:t>
            </w:r>
          </w:p>
        </w:tc>
      </w:tr>
    </w:tbl>
    <w:p/>
    <w:p>
      <w:pPr>
        <w:pStyle w:val="Heading1"/>
      </w:pPr>
      <w:r>
        <w:t>11. Current finding and release gate</w:t>
      </w:r>
    </w:p>
    <w:p>
      <w:r>
        <w:t>Current state: VALIDATION_PACKAGE_CREATED, NUMERICAL_CALIBRATION_NOT_YET ADJUDICATED.</w:t>
      </w:r>
    </w:p>
    <w:p>
      <w:r>
        <w:t>Release gate for “Evidence Composite Model v1 — Six-Study Calibrated Baseline”:</w:t>
      </w:r>
    </w:p>
    <w:p>
      <w:pPr>
        <w:pStyle w:val="ListBullet"/>
      </w:pPr>
      <w:r>
        <w:t>All run artifacts listed above are present and checksummed.</w:t>
      </w:r>
    </w:p>
    <w:p>
      <w:pPr>
        <w:pStyle w:val="ListBullet"/>
      </w:pPr>
      <w:r>
        <w:t>Every simulated value has origin, transformation, and review state.</w:t>
      </w:r>
    </w:p>
    <w:p>
      <w:pPr>
        <w:pStyle w:val="ListBullet"/>
      </w:pPr>
      <w:r>
        <w:t>Published anchors are compared using predefined acceptance rules.</w:t>
      </w:r>
    </w:p>
    <w:p>
      <w:pPr>
        <w:pStyle w:val="ListBullet"/>
      </w:pPr>
      <w:r>
        <w:t>Sensitivity scenarios identify the dominant uncertainty drivers.</w:t>
      </w:r>
    </w:p>
    <w:p>
      <w:pPr>
        <w:pStyle w:val="ListBullet"/>
      </w:pPr>
      <w:r>
        <w:t>Convergence and seed robustness are demonstrated.</w:t>
      </w:r>
    </w:p>
    <w:p>
      <w:pPr>
        <w:pStyle w:val="ListBullet"/>
      </w:pPr>
      <w:r>
        <w:t>All nontrivial donor substitutions are USER_APPROVED or explicitly retained as alternatives.</w:t>
      </w:r>
    </w:p>
    <w:p>
      <w:pPr>
        <w:pStyle w:val="ListBullet"/>
      </w:pPr>
      <w:r>
        <w:t>The frozen evidence table, input manifest, code commit, random seeds, and outputs are archived together.</w:t>
      </w:r>
    </w:p>
    <w:p>
      <w:pPr>
        <w:pStyle w:val="Heading1"/>
      </w:pPr>
      <w:r>
        <w:t>Appendix A. Known evidence limitations</w:t>
      </w:r>
    </w:p>
    <w:p>
      <w:pPr>
        <w:pStyle w:val="ListBullet"/>
      </w:pPr>
      <w:r>
        <w:t>ECMO and CVVHDF studies provide observed target-attainment proportions rather than Monte Carlo PTA.</w:t>
      </w:r>
    </w:p>
    <w:p>
      <w:pPr>
        <w:pStyle w:val="ListBullet"/>
      </w:pPr>
      <w:r>
        <w:t>Some clinical studies use trough or steady-state sampling and cannot identify complete time-above-threshold profiles.</w:t>
      </w:r>
    </w:p>
    <w:p>
      <w:pPr>
        <w:pStyle w:val="ListBullet"/>
      </w:pPr>
      <w:r>
        <w:t>Protein binding was not measured uniformly; several free concentrations were calculated using fixed literature fractions.</w:t>
      </w:r>
    </w:p>
    <w:p>
      <w:pPr>
        <w:pStyle w:val="ListBullet"/>
      </w:pPr>
      <w:r>
        <w:t>The healthy-volunteer CSF study is structurally rich but is not directly representative of critically ill renal populations.</w:t>
      </w:r>
    </w:p>
    <w:p>
      <w:pPr>
        <w:pStyle w:val="ListBullet"/>
      </w:pPr>
      <w:r>
        <w:t>The microbiological donor is an in vitro static time-kill experiment with one KPC-3 K. pneumoniae isolate.</w:t>
      </w:r>
    </w:p>
    <w:p>
      <w:pPr>
        <w:pStyle w:val="ListBullet"/>
      </w:pPr>
      <w:r>
        <w:t>The 2024 CI popPK/PD study is the principal calibration source for renal-stratified PTA/CFR and therefore has high leverage.</w:t>
      </w:r>
    </w:p>
    <w:p>
      <w:pPr>
        <w:pStyle w:val="ListBullet"/>
      </w:pPr>
      <w:r>
        <w:t>The local 100,000-subject run cannot be numerically audited until its output files and metadata are ingested.</w:t>
      </w:r>
    </w:p>
    <w:p>
      <w:pPr>
        <w:pStyle w:val="Heading1"/>
      </w:pPr>
      <w:r>
        <w:t>Appendix B. Evidence references</w:t>
      </w:r>
    </w:p>
    <w:p>
      <w:pPr>
        <w:pStyle w:val="ListNumber"/>
      </w:pPr>
      <w:r>
        <w:t>Cojutti PG, Pai MP, Gatti M, et al. An innovative population pharmacokinetic/pharmacodynamic strategy for attaining aggressive joint PK/PD target of continuous infusion ceftazidime/avibactam against KPC- and OXA-48-producing Enterobacterales and preventing resistance development in critically ill patients. J Antimicrob Chemother. 2024;79:2801–2808. doi:10.1093/jac/dkae290.</w:t>
      </w:r>
    </w:p>
    <w:p>
      <w:pPr>
        <w:pStyle w:val="ListNumber"/>
      </w:pPr>
      <w:r>
        <w:t>Gatti M, Rinaldi M, Gaibani P, et al. A descriptive pharmacokinetic/pharmacodynamic analysis of continuous infusion ceftazidime-avibactam for treating DTR gram-negative infections in critically ill patients undergoing CVVHDF. J Crit Care. 2023;76:154301. doi:10.1016/j.jcrc.2023.154301.</w:t>
      </w:r>
    </w:p>
    <w:p>
      <w:pPr>
        <w:pStyle w:val="ListNumber"/>
      </w:pPr>
      <w:r>
        <w:t>Curtiaud A, Petit M, Chommeloux J, et al. Ceftazidime/avibactam serum concentration in patients on ECMO. J Antimicrob Chemother. 2024;79:1182–1186. doi:10.1093/jac/dkae091.</w:t>
      </w:r>
    </w:p>
    <w:p>
      <w:pPr>
        <w:pStyle w:val="ListNumber"/>
      </w:pPr>
      <w:r>
        <w:t>Wölfl-Duchek M, van Os W, al Jalali V, et al. Cerebrospinal fluid concentrations of ceftaroline and ceftazidime/avibactam in healthy volunteers: Pharmacokinetics and probability of target attainment. Int J Antimicrob Agents. 2025;66:107512.</w:t>
      </w:r>
    </w:p>
    <w:p>
      <w:pPr>
        <w:pStyle w:val="ListNumber"/>
      </w:pPr>
      <w:r>
        <w:t>Additional source packages: ScienceDirect CVVHDF pharmacokinetic study S0924857924003108; KPC-3 Klebsiella pneumoniae static time-kill study, PMID 40227072.</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CAZ–AVI Six-Study Evidence Composite | Validation Report v0.1 | 7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