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 xml:space="preserve">ORCID: </w:t>
      </w:r>
      <w:r>
        <w:t>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We then ran a prospective </w:t>
      </w:r>
      <w:r>
        <w:rPr>
          <w:i/>
        </w:rPr>
        <w:t>Escherichia coli</w:t>
      </w:r>
      <w:r>
        <w:t xml:space="preserve"> time-kill experiment in our laboratory, testing both boundaries independently of the tuberculosis collection.</w:t>
      </w:r>
    </w:p>
    <w:p>
      <w:r>
        <w:t xml:space="preserve">The classification proved structurally compromised in the clinical cohort. Thirty-three of 217 isolates lacked the starting density needed to reach their assigned 99.99 percent reduction, and none did. Eighteen isolates ended exactly at the detection floor; a third were compatible with more than one tolerance class. These outcomes tracked growth rate, and isoniazid-resistant isolates, seeded at a tenfold lower starting density than susceptible ones, were disproportionately exposed. Our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Whether starting density explains isoniazid-resistant isolates' disproportionate exposure as a confounder or a mediator is unresolved here.</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compounds are ranked by in vitro killing curves, counts of surviving colonies read off a plate over time.</w:t>
      </w:r>
    </w:p>
    <w:p>
      <w:r>
        <w:t xml:space="preserve">A plate count has a hard floor, and the pipette sets it. The smallest positive result is one colony, and what one colony means depends on the volume spread: plate 100 µL and a single colony is 10 bacteria per mL. Below that the plate reports no growth, which is not the same as nothing there. A negative culture taken after treatment has begun is not evidence of sterility, which is why blood cultures are drawn before the first dose. We write </w:t>
      </w:r>
      <w:r>
        <w:rPr>
          <w:i/>
        </w:rPr>
        <w:t>L</w:t>
      </w:r>
      <w:r>
        <w:t xml:space="preserve"> for that floor and </w:t>
      </w:r>
      <w:r>
        <w:rPr>
          <w:i/>
        </w:rPr>
        <w:t>N₀</w:t>
      </w:r>
      <w:r>
        <w:t xml:space="preserve"> for the starting density.</w:t>
      </w:r>
    </w:p>
    <w:p>
      <w:r>
        <w:t>Tuberculosis makes that floor expensive, because the phenotype invoked to explain why treatment takes so long is itself defined by a duration. Tolerance is the capacity of a genetically susceptible population to survive an exposure that should kill it: the drug still works, but the bacteria take a long time to die, and that time is the measurement.</w:t>
      </w:r>
    </w:p>
    <w:p>
      <w:r>
        <w:t xml:space="preserve">Rather than asking whether a culture has gone negative, the modern definition asks how many logs the population fell. The minimum duration for killing (MDK), the time to a specified fractional reduction of 90, 99 or 99.99 per cent, was proposed as the tolerance counterpart to the minimum inhibitory concentration (2, 3). The fraction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w:t>
      </w:r>
    </w:p>
    <w:p>
      <w:r>
        <w:t>MDK as originally defined is not a plate-count metric. It was measured from the presence or absence of survivors in microwell arrays of about a hundred cells, a design chosen to avoid dilution plating. The consensus guidelines say how the smallest detectable count should be established (3, 4). What this paper examines is the form the tuberculosis field adopted: log-reduction endpoints computed from plate counts and most-probable-number series. The floor problem belongs to that implementation, not to the definition.</w:t>
      </w:r>
    </w:p>
    <w:p>
      <w:r>
        <w:t>The property holds in the definition and fails in the measurement, and that gap is what this paper is about. To show a four-log kill you have to see four logs down,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the endpoint is unreachable before the drug is added. We call this first boundary reachability.</w:t>
      </w:r>
    </w:p>
    <w:p>
      <w:r>
        <w:t xml:space="preserve">A second failure appears when the last count lands on the floor. The fraction written down is then </w:t>
      </w:r>
      <w:r>
        <w:rPr>
          <w:i/>
        </w:rPr>
        <w:t>L/N₀</w:t>
      </w:r>
      <w:r>
        <w:t>, the floor divided by the starting density; the drug has dropped out of it, and what is left is the pipette and the inoculum. A metric designed to be inoculum-independent becomes a pure inoculum readout at exactly the depth where tolerance is scored. We call this second boundary identifiability.</w:t>
      </w:r>
    </w:p>
    <w:p>
      <w:r>
        <w:t xml:space="preserve">Inoculum-dependent tolerance measurements have been reported before under a different mechanism. An </w:t>
      </w:r>
      <w:r>
        <w:rPr>
          <w:i/>
        </w:rPr>
        <w:t>Escherichia coli</w:t>
      </w:r>
      <w:r>
        <w:t xml:space="preserve"> persister assay gave different tolerant fractions depending on growth phase and culture history, attributed there to prophage induction rather than to an assay floor (5). That report and this one agree on the symptom and differ on the mechanism, and neither rules out the other operating in a given assay.</w:t>
      </w:r>
    </w:p>
    <w:p>
      <w:r>
        <w:t xml:space="preserve">What has not been recognised before is what a floor-level reading becomes: a classification rule.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stay distinct from it. A duration ceiling, where the assay stopped looking, is not a count floor. Recording a below-limit flag is not the same as scoring a duration from the points so recorded.</w:t>
      </w:r>
    </w:p>
    <w:p>
      <w:r>
        <w:t>This study asks how deep a log-reduction tolerance endpoint can be measured at all, and whether isolates have been assigned tolerance phenotypes from outside that range. Two boundaries on the starting density follow from the definitions. One decides whether an endpoint is reachable, the other whether a floor-level reading identifies a class, and both are computed from quantities a time-kill protocol already records.</w:t>
      </w:r>
    </w:p>
    <w:p>
      <w:r>
        <w:t xml:space="preserve">Answering that question needs data recording three quantities: a starting density measured before treatment, a time series, and either a plated volume or a stated floor. Most datasets do not record all three. Of 78 candidate time-kill datasets assembled for this study, 45 were inspected in full; of the 40 distinct literature deposits among them, </w:t>
      </w:r>
      <w:r>
        <w:rPr>
          <w:b/>
        </w:rPr>
        <w:t>32 state no assay floor by any route</w:t>
      </w:r>
      <w:r>
        <w:t>. That is the first result, and it is why the five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(6, 7).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(6, 7), a fixed ladder of rungs, not a continuous scale. The day-5 column does not taper towards zero. It stops. Eighteen isolates sit at exactly 23 per mL in the 15-day panel and six in the 60-day panel.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Headroom, the distance from the starting density down to the floor, therefore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That is a census rather than an estimate, since the floor censors the count while the ceiling censors time: an isolate not yet at its endpoint after six days is recorded at the last day rather than at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Their starting densities span 265-fold, from 23,000 to 6.1 × 10⁶ per mL. The same terminal reading therefore implies a different range of compatible reductions in each: at least 3.00 logs for the isolate that began at 23,000, at least 5.42 for the one that began at 6.1 × 10⁶.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(8)). Of the 84 resistant isolates carrying an ordered label, 22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ran exactly that exercise. They sent a single stock of H37Rv to six blinded laboratories under one written protocol (9, 10).</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That split has probability 1/20 under chance alone, and it is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report amoxicillin-clavulanate against </w:t>
      </w:r>
      <w:r>
        <w:rPr>
          <w:i/>
        </w:rPr>
        <w:t>Escherichia coli</w:t>
      </w:r>
      <w:r>
        <w:t xml:space="preserve"> in a hollow-fibre system (11, 12). Their Methods state 100 µL plated with counts per mL, so </w:t>
      </w:r>
      <w:r>
        <w:rPr>
          <w:i/>
        </w:rPr>
        <w:t>L</w:t>
      </w:r>
      <w:r>
        <w:t xml:space="preserve"> = 10 CFU/mL is derived rather than inferred.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pPr>
        <w:spacing w:before="240"/>
      </w:pPr>
      <w:r>
        <w:rPr>
          <w:b/>
          <w:sz w:val="22"/>
        </w:rPr>
        <w:t>7. A second distortion in M. tuberculosis: bacilli invisible to culture, not just below the floor</w:t>
      </w:r>
    </w:p>
    <w:p>
      <w:r>
        <w:t>Everything above is about the floor. One published observation in this organism shows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(13).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growth in a dilution series requires an organism that is alive and culturable.</w:t>
      </w:r>
    </w:p>
    <w:p>
      <w:r>
        <w:t xml:space="preserve">That gap is not the detection floor. For censoring to explain a plate reading of zero against 1,450 organisms in the same tissue, the colony count's floor would have to sit above 1,450 per lung. That is far less of the homogenate than any lung protocol plates. This is differential culturability, a described phenotype of </w:t>
      </w:r>
      <w:r>
        <w:rPr>
          <w:i/>
        </w:rPr>
        <w:t>M. tuberculosis</w:t>
      </w:r>
      <w:r>
        <w:t>. Resuscitation-promoting-factor-dependent bacilli dominate pre-treatment sputum and rise during chemotherapy (14). Both dependent and independent differentially culturable populations are recovered from patients whose solid-medium cultures return nothing (15). Rifamycin action on ribonucleic acid (RNA) polymerase converts a starved population to over 90 per cent differentially detectable in vitro (16), and that is the same drug class every arm of the Evangelopoulos regimen carries.</w:t>
      </w:r>
    </w:p>
    <w:p>
      <w:r>
        <w:t>Reachability and identifiability are arithmetic on the plated volume and would hold in an assay with perfect culturability. Differential culturability is biology, acts on the numerator rather than the floor, and nothing here derives or measures it. The two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Those five cover sputum from pulmonary tuberculosis, axenic culture, an auxotrophic H37Rv panel and two drug-development series, with floors from 13 to 200 CFU/mL. Across them,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reanalysed here.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The organism is </w:t>
      </w:r>
      <w:r>
        <w:rPr>
          <w:i/>
        </w:rPr>
        <w:t>Escherichia coli</w:t>
      </w:r>
      <w:r>
        <w:t xml:space="preserve"> ATCC 25922, the reference strain the standard names for quality control, tested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They can therefore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is a ruler for the window's width here,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Once it is a number, the defect is harder to see.</w:t>
      </w:r>
    </w:p>
    <w:p>
      <w:r>
        <w:t xml:space="preserve">The standard is not silent on that choice. M26-A's section 1.3.2.5, </w:t>
      </w:r>
      <w:r>
        <w:rPr>
          <w:i/>
        </w:rPr>
        <w:t>Volume Transferred</w:t>
      </w:r>
      <w:r>
        <w:t>, ties the volume to the endpoint with a counting rule. After the defined 99.9 per cent killing, at least ten colonies must remain (17) (for a standard inoculum of 5 × 10⁵ per mL that means at least 20 µL streaked, so a 10 µL streak fails the rule). Section 3.1 separately requires the smallest detectable count to be established by serial dilution. A guideline written in 1999 already required both numbers this paper asks for. The deposits reanalysed here do not meet it because the endpoint moved. M26-A nowhere contemplates a four-log call, and the volume rule did not travel with the deeper endpoints.</w:t>
      </w:r>
    </w:p>
    <w:p>
      <w:r>
        <w:t>Take the assay's contribution out and what is left is consistent with biology. Growth state predicts the tolerance class before and after adjustment for starting density (isoniazid needs KatG and active cell-wall synthesis (18), rifampicin needs transcription (19)). A population that is not dividing offers less of what these drugs act on. The classification tracks physiological state at least as much as drug susceptibility.</w:t>
      </w:r>
    </w:p>
    <w:p>
      <w:r>
        <w:t>That axis is the one tuberculosis drug development already leans on. Killing assays of this design rank regimens before they enter trials, and tolerance followed in patients is now being read as within-host evolution (20). A whole-host simulation of tuberculosis treatment reports the same sensitivity one step further downstream. Which regimen ranks best in a granuloma model changes with the CFU detection threshold used to define success, independent of any question about tolerance classification (21). Suppose a tolerance classification is partly an inoculum measurement. Conclusions drawn from it are then in part conclusions about how the assay was set up. That holds for the conclusion that one regimen sterilises faster than another, and for the conclusion that a patient's isolates are becoming more tolerant over therapy. The correction applied here does not remove the biology. It aims the biology at the right target. The phenotype that survives the correction is growth state, real, targetable and directly measurable, unlike a fraction read off a floor.</w:t>
      </w:r>
    </w:p>
    <w:p>
      <w:r>
        <w:t>The prospective experiment has a limitation a reader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The design is conservative in this respect rather than clean. The larger plated volume carries ten times more drug to the plate, so carryover would shrink the difference between the two platings that Section 8 reports, not manufacture it. The experiment cannot exclude carryover, and a repetition should include the control that would.</w:t>
      </w:r>
    </w:p>
    <w:p>
      <w:r>
        <w:t>Several further limitations bound what the analysis can establish. Each one points at the experiment that would settle the question. The limitations bearing on the claims made are given here, with the rest in the supplement.</w:t>
      </w:r>
    </w:p>
    <w:p>
      <w:r>
        <w:t xml:space="preserve">This paper has already acted on the first rather than declaring it. Flasks from one laboratory share a starting culture. Repeat isolates come from a patient already counted. Every conclusion from the two primary deposits was recomputed at the level where the observations are independent, and listed one line at a time (Table S6). Twenty survive unchanged, six survive with much wider uncertainty, and five do not survive and </w:t>
      </w:r>
      <w:r>
        <w:rPr>
          <w:b/>
        </w:rPr>
        <w:t>have already been removed from the text above</w:t>
      </w:r>
      <w:r>
        <w:t>. One more is withdrawn because the null it was tested against was already false before any data were seen.</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 thin inoculum is then a consequence of the slow growth, and adjusting for it would remove real signal rather than a confounder. The asymmetry favours the confounding reading, since growth survives adjustment and resistance does not. A design that fixes the inoculum would settle it.</w:t>
      </w:r>
    </w:p>
    <w:p>
      <w:r>
        <w:rPr>
          <w:b/>
        </w:rPr>
        <w:t>Choose the depth of the endpoint to fit the headroom actually available, rather than densifying the inoculum merely to buy more.</w:t>
      </w:r>
      <w:r>
        <w:t xml:space="preserve"> The inoculum needed can be worked out before the experiment. Seeding above </w:t>
      </w:r>
      <w:r>
        <w:rPr>
          <w:i/>
        </w:rPr>
        <w:t>L</w:t>
      </w:r>
      <w:r>
        <w:t xml:space="preserve"> · max(10^</w:t>
      </w:r>
      <w:r>
        <w:rPr>
          <w:i/>
        </w:rPr>
        <w:t>q</w:t>
      </w:r>
      <w:r>
        <w:t>, 1/</w:t>
      </w:r>
      <w:r>
        <w:rPr>
          <w:i/>
        </w:rPr>
        <w:t>c</w:t>
      </w:r>
      <w:r>
        <w:t>₁) makes both failure modes impossible, that is, the endpoint that was never reachable and the last count that lands on the floor. For this assay that is 230,000 per mL. Seeding higher also changes the experiment, because a denser culture is a different physiological state. Physiological state is what the tolerance label tracks. Where the deep endpoint is wanted, lower the assay floor instead. Where the headroom will not carry it either way, the shallower endpoint is the honest one.</w:t>
      </w:r>
    </w:p>
    <w:p>
      <w:r>
        <w:rPr>
          <w:b/>
        </w:rPr>
        <w:t>Treat an endpoint at the floor as a bound, not a value.</w:t>
      </w:r>
      <w:r>
        <w:t xml:space="preserve"> Analysed as a measurement it manufactures differences between isolates whose final viable burdens the assay could not tell apart.</w:t>
      </w:r>
    </w:p>
    <w:p>
      <w:r>
        <w:rPr>
          <w:b/>
        </w:rPr>
        <w:t>Fix the inoculum, or adjust for it, before comparing tolerance across groups.</w:t>
      </w:r>
      <w:r>
        <w:t xml:space="preserve"> The comparison that motivated this work, resistant against susceptible isolates, is confounded by a ten-fold difference in starting density. Until that difference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Of the 40 distinct literature deposits among them, 32 state no assay floor by any route. Most published endpoints therefore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None of its reporting requirements is </w:t>
      </w:r>
      <w:r>
        <w:rPr>
          <w:i/>
        </w:rPr>
        <w:t>L</w:t>
      </w:r>
      <w:r>
        <w:t>, headroom or a censoring convention specific to a duration endpoint cut on a fraction of the starting count (22). The five fields above are additional to that guide,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The remedy adopted was to stop asking whether the culture went negative and to start asking how far it fell. The fall was expressed as a fraction of where it began, so that the starting culture could not matter. The fraction stops being a fraction once the population reaches the floor. What is recorded from that point is </w:t>
      </w:r>
      <w:r>
        <w:rPr>
          <w:i/>
        </w:rPr>
        <w:t>L</w:t>
      </w:r>
      <w:r>
        <w:t>/</w:t>
      </w:r>
      <w:r>
        <w:rPr>
          <w:i/>
        </w:rPr>
        <w:t>N₀</w:t>
      </w:r>
      <w:r>
        <w:t>, which moves with the starting density and not with the surviving population. That happens here for fifteen per cent of isolates at the depth the classification uses. It happens too for the eighteen isolates whose recorded label a single threshold on their inoculum reproduces exactly.</w:t>
      </w:r>
    </w:p>
    <w:p>
      <w:r>
        <w:t>A tolerance call made without its headroom cannot be told apart from an inoculum measurement. The phenotype associated with survival after correction tracks physiological state at least as much as drug susceptibility. That is not the same as saying tolerance is an artefact. Report the starting density and the assay floor. Match the depth of the endpoint to the range actually available. Treat a reading at the floor as a bound. Until those three things are routine, some of what the field calls tolerance cannot be separated from a record of how much culture went into the tube.</w:t>
      </w:r>
    </w:p>
    <w:p>
      <w:r>
        <w:t>What this study adds is a way to see the problem before the plates are poured. It offers two boundaries computed from quantities a time-kill protocol already records. It also offers a classification that refuses rather than guesses when the assay cannot decide (Table S11), a five-field minimum that makes any killing endpoint recomputable (Box 2), and a small tool that returns the endpoint a planned assay can support.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We assembled 78 candidate time-kill datasets from the published literature (21 August – 8 September 2026). We then screened 45 of them field by field for the three quantities the two boundaries below require. These are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carried enough information to compute both boundaries, and five carried the complete set of fields the full analysis requires (Table 3, Fig. S4). The full pipeline is summarised in Fig. S6. These 78 candidates are a documented sample of the literature, assembled without a registered search protocol. The two boundaries are derived from definitions rather than estimated from the corpus's size. A single deposit with a stated floor is therefore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(23). Each isolate carries a minimum inhibitory concentration and minimum durations for 90, 99 and 99.99 per cent killing at 15 and 60 days of prior culture. Each also carries most probable number readings at days 0, 2 and 5, a growth-rate proxy, isoniazid susceptibility with the resistance mutation where present, and the authors' own tolerance level.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(9, 10). Moxifloxacin and isoniazid were used at one and ten times the minimum inhibitory concentration, with three flasks per arm. Each sample was plated at four volumes: 100 µL quadruplicate, 10 µL as four drops, 10 µL as a single drop, and 2.5 µL as a single drop. These give three distinct floors spanning 1.60 log10 within a single flask-visit (24).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(25, 26).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(27, 28).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(11, 12). It was the only deposit found carrying all three fields the boundaries require. No boundary, threshold or modelling choice in this paper was informed by it. It is used nowhere else except to confirm them (Section 6).</w:t>
      </w:r>
    </w:p>
    <w:p>
      <w:r>
        <w:t>Each dataset's organism, drug, design and licence is summarised in Table 3.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(17, 29). The ciprofloxacin MIC was determined by CLSI reference broth microdilution (29, 30). It was 0.008 mg/L, within the CLSI quality-control range for this strain (30). The exposure was set at ten times it, 0.08 mg/L. That level was chosen to kill deeply and fast enough that every arm reaches the floor within the sampling window.</w:t>
      </w:r>
    </w:p>
    <w:p>
      <w:r>
        <w:t xml:space="preserve">Three seeding arms were set so the four-log endpoint is unreachable in one, marginal in the second and comfortable in the third. The targets were 5 × 10⁴, 5 × 10⁵ and 5 × 10⁶ CFU/mL, the middle arm being the CLSI-specified inoculum. Day-zero counts put the arms at 6.4 × 10⁴, 4.4 × 10⁵ and 3.8 × 10⁶ CFU/mL. That is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the only short form used, so that "boundary" is left free for the two derived boundaries of the next subsection.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 xml:space="preserve">₁) makes both failure modes impossible before an experiment runs. The class thresholds </w:t>
      </w:r>
      <w:r>
        <w:rPr>
          <w:i/>
        </w:rPr>
        <w:t>c</w:t>
      </w:r>
      <w:r>
        <w:t xml:space="preserve">₁, </w:t>
      </w:r>
      <w:r>
        <w:rPr>
          <w:i/>
        </w:rPr>
        <w:t>c</w:t>
      </w:r>
      <w:r>
        <w:t xml:space="preserve">₂ are an input to this definition, not an output of it: </w:t>
      </w:r>
      <w:r>
        <w:rPr>
          <w:i/>
        </w:rPr>
        <w:t>N</w:t>
      </w:r>
      <w:r>
        <w:t>_id only tests a classification independently of the data being classified when the thresholds come from somewhere other than that data. Where a deposit states its own thresholds, the test is independent; where they are recovered from the deposit itself, as in Results Section 2, the agreement that follows is an identity rather than a test, and the manuscript says so at the point it occurs.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(31). A censored reading contributes log Φ((limit − µ)/σ), the probability it fell below its own limit, which is Beal's M3 written for this assay (32). As a consistency check, 50 imputed datasets were generated from the fitted truncated-normal distribution, analysed by ordinary least squares, and pooled using Rubin's rules (33). Both procedures share the same distributional assumptions, so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(34), with starting density as a prespecified covariate; proportional odds was tested by a Brant test per predictor (35) and a likelihood-ratio test against a generalised ordered logit (36),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reported instead of a least-squares fit through the deposited concentration means, which has two residual degrees of freedom and discards the replicate scatter. An interval on a proportion is the Jeffreys interval (44).</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(45, 46),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(47)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(48), scipy 1.18.0 (49), pandas 3.0.3 (50), statsmodels 0.15.0 (51) and lifelines 0.30.3 (52).</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clinical isolates reanalysed in Section 1 through Section 5 were collected under the ethical approval reported by their depositors: the Institutional Research Board of Pham Ngoc Thach Hospital, the Ho Chi Minh City Health Services and the Oxford University Tropical Research Ethics Committee (OxTREC 030-07) (53). The isolates are deposited de-identified and CC BY 4.0 licensed for secondary analysis, and this manuscript performs no new sampling from any patient.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and verified every reported quantity against the source deposits and the regenerating pipeline. The author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(23, 53), van Wijk and colleagues (9, 10), Windels and colleagues (25, 26), Kaur and colleagues (27, 28), and the hollow-fibre Source Data of Dubey and colleagues (11, 12). That last deposit was held out of every fitting step. The readings from the prospective experiment are deposited with the analysis code.</w:t>
      </w:r>
    </w:p>
    <w:p>
      <w:r>
        <w:t>That code, both audit scripts, the headroom tool and machine-readable receipts are in a public repository (54). The receipts record the software versions each stage ran under. The repository is dual-licensed. The code is under the Massachusetts Institute of Technology (MIT) licence, and the manuscript, figures and results are under CC BY 4.0. The deposits keep their depositors' own licences. The repository is at https://github.com/piranfar/detection-floor-tolerance-endpoints, and this manuscript was built from commit c21931b+ of it.</w:t>
      </w:r>
    </w:p>
    <w:p>
      <w:pPr>
        <w:spacing w:before="240"/>
      </w:pPr>
      <w:r>
        <w:rPr>
          <w:b/>
          <w:sz w:val="22"/>
        </w:rPr>
        <w:t>Declaration of computational reproducibility</w:t>
      </w:r>
    </w:p>
    <w:p>
      <w:r>
        <w:t>Every number in this paper is regenerated by a script that writes a machine-readable receipt. An audit script then recomputes 174 quantities quoted in the text from the tables they came from. A second audit makes three checks. It checks that every number in the Abstract, Box 1, and every table and figure legend traces to a results file or receipt. It checks that no numeric literal carries two incompatible statistical labels (a hazard ratio quoted where another table calls the same figure a p-value, for example). It checks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He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No value anywhere in the file lies below it.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The 265-fold span in apparent survival is therefore exactly the 265-fold span in starting density. The dotted lines are the deposited classification thresholds. Which side of the low/medium cut an isolate falls on is settled by where it began, not by what the reading measured. Reaching the floor at all still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and they span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in Fig. S1, which also gives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(25)</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Harms A, Fino C, Sørensen MA, Semsey S, Gerdes K. 2017. Prophages and growth dynamics confound experimental results with antibiotic-tolerant persister cells. mBio 8:e01964-17. https://doi.org/10.1128/mBio.01964-17.</w:t>
      </w:r>
    </w:p>
    <w:p>
      <w:r>
        <w:t>6. Cochran WG. 1950. Estimation of bacterial densities by means of the "most probable number". Biometrics 6:105. https://doi.org/10.2307/3001491.</w:t>
      </w:r>
    </w:p>
    <w:p>
      <w:r>
        <w:t>7. Blodgett R. 2023. BAM appendix 2: most probable number from serial dilutions. Bacteriological analytical manual. US Food and Drug Administration, Silver Spring, MD. https://www.fda.gov/food/laboratory-methods-food/bam-appendix-2-most-probable-number-serial-dilutions.</w:t>
      </w:r>
    </w:p>
    <w:p>
      <w:r>
        <w:t>8. Mann HB, Whitney DR. 1947. On a test of whether one of two random variables is stochastically larger than the other. Ann Math Stat 18:50-60. https://doi.org/10.1214/aoms/1177730491.</w:t>
      </w:r>
    </w:p>
    <w:p>
      <w:r>
        <w:t xml:space="preserve">9.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10.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11.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12.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13.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14. Mukamolova GV, Turapov O, Malkin J, Woltmann G, Barer MR. 2010. Resuscitation-promoting factors reveal an occult population of tubercle bacilli in sputum. Am J Respir Crit Care Med 181:174-180. https://doi.org/10.1164/rccm.200905-0661OC.</w:t>
      </w:r>
    </w:p>
    <w:p>
      <w:r>
        <w:t>15.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16.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17. National Committee for Clinical Laboratory Standards. 1999. Methods for determining bactericidal activity of antimicrobial agents; approved guideline. NCCLS document M26-A. National Committee for Clinical Laboratory Standards, Wayne, PA. ISBN 1-56238-384-1.</w:t>
      </w:r>
    </w:p>
    <w:p>
      <w:r>
        <w:t>18. Vilchèze C, Jacobs WR Jr. 2007. The mechanism of isoniazid killing: clarity through the scope of genetics. Annu Rev Microbiol 61:35-50. https://doi.org/10.1146/annurev.micro.61.111606.122346.</w:t>
      </w:r>
    </w:p>
    <w:p>
      <w:r>
        <w:t>19. Campbell EA, Korzheva N, Mustaev A, Murakami K, Nair S, Goldfarb A, Darst SA. 2001. Structural mechanism for rifampicin inhibition of bacterial RNA polymerase. Cell 104:901-912. https://doi.org/10.1016/S0092-8674(01)00286-0.</w:t>
      </w:r>
    </w:p>
    <w:p>
      <w:r>
        <w:t xml:space="preserve">20.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21. Michael CT, Budak M, Maiello P, Kracinovsky K, Rodgers M, Tomko J, Lin PL, Flynn J, Linderman JJ, Kirschner D. 2025. Rankings of tuberculosis antibiotic treatment regimens are sensitive to spatial scale, detection limit, and initial host bacterial burden. J Theor Biol. https://doi.org/10.1016/j.jtbi.2025.112176.</w:t>
      </w:r>
    </w:p>
    <w:p>
      <w:r>
        <w:t>22. ASTM International. 2023. E2315-23: Standard Guide for Assessment of Antimicrobial Activity Using a Time-Kill Procedure. ASTM International, West Conshohocken, PA. https://doi.org/10.1520/E2315-23.</w:t>
      </w:r>
    </w:p>
    <w:p>
      <w:r>
        <w:t xml:space="preserve">23.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25. Windels EM, Cool L, Persy E, Swinnen J, Matthay P, Van den Bergh B, Wenseleers T, Michiels J. 2024. Antibiotic dose and nutrient availability differentially drive the evolution of antibiotic resistance and persistence. ISME J 18:wrae070. https://doi.org/10.1093/ismejo/wrae070.</w:t>
      </w:r>
    </w:p>
    <w:p>
      <w:r>
        <w:t>26.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27.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28. Kaur P. 2024. Apramycin kills replicating and non-replicating </w:t>
      </w:r>
      <w:r>
        <w:rPr>
          <w:i/>
        </w:rPr>
        <w:t>Mycobacterium tuberculosis</w:t>
      </w:r>
      <w:r>
        <w:t xml:space="preserve"> — raw data. figshare. https://doi.org/10.6084/m9.figshare.26462791.v1.</w:t>
      </w:r>
    </w:p>
    <w:p>
      <w:r>
        <w:t>29. Clinical and Laboratory Standards Institute. 2024. Methods for dilution antimicrobial susceptibility tests for bacteria that grow aerobically, 12th ed. CLSI standard M07. Clinical and Laboratory Standards Institute, Wayne, PA.</w:t>
      </w:r>
    </w:p>
    <w:p>
      <w:r>
        <w:t>30. Clinical and Laboratory Standards Institute. 2026. Performance standards for antimicrobial susceptibility testing, 36th ed. CLSI supplement M100. Clinical and Laboratory Standards Institute, Wayne, PA.</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Imai K, Keele L, Yamamoto T. 2010. Identification, inference and sensitivity analysis for causal mediation effects. Stat Sci 25:51-71. https://doi.org/10.1214/10-STS321.</w:t>
      </w:r>
    </w:p>
    <w:p>
      <w:r>
        <w:t>46. Baron RM, Kenny DA. 1986. The moderator-mediator variable distinction in social psychological research: conceptual, strategic, and statistical considerations. J Pers Soc Psychol 51:1173-1182. https://doi.org/10.1037/0022-3514.51.6.1173.</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"Rifampicin tolerance classification is bounded by assay detection floor among clinical Mycobacterium tuberculosis isolates".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