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The detection floor bounds tolerance endpoints in </w:t>
      </w:r>
      <w:r>
        <w:rPr>
          <w:b/>
          <w:i/>
          <w:sz w:val="28"/>
        </w:rPr>
        <w:t>Mycobacterium tuberculosis</w:t>
      </w:r>
    </w:p>
    <w:p>
      <w:r>
        <w:rPr>
          <w:b/>
        </w:rPr>
        <w:t>Author:</w:t>
      </w:r>
      <w:r>
        <w:t xml:space="preserve"> Vahhab Piranfar¹</w:t>
      </w:r>
    </w:p>
    <w:p>
      <w:r>
        <w:t>¹Independent Researcher, New York, NY, USA</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1 | </w:t>
      </w:r>
      <w:r>
        <w:rPr>
          <w:b/>
        </w:rPr>
        <w:t>Supplemental figures:</w:t>
      </w:r>
      <w:r>
        <w:t xml:space="preserve"> 3 | </w:t>
      </w:r>
      <w:r>
        <w:rPr>
          <w:b/>
        </w:rPr>
        <w:t>Supplemental tables:</w:t>
      </w:r>
      <w:r>
        <w:t xml:space="preserve"> 23</w:t>
      </w:r>
    </w:p>
    <w:p>
      <w:pPr>
        <w:spacing w:before="240"/>
      </w:pPr>
      <w:r>
        <w:rPr>
          <w:b/>
          <w:sz w:val="24"/>
        </w:rPr>
        <w:t>Abstract</w:t>
      </w:r>
    </w:p>
    <w:p>
      <w:r>
        <w:t>A culture that grows nothing after antibiotics has never proved sterility, so tolerance is scored by how far the count fell: the minimum duration for killing. That endpoint is a fraction of the starting count, so the inoculum should cancel. It does in the definition, and fails once killing reaches the assay's floor. Seventy-eight published time-kill datasets were screened: of the 45 whose series could be inspected in full, 36 state no assay floor by any route. Five are reanalysed here — the floor derived in two, inferred in one and absent in two — and one experiment tests this.</w:t>
      </w:r>
    </w:p>
    <w:p>
      <w:r>
        <w:t xml:space="preserve">Two boundaries follow from the definitions. For a floor </w:t>
      </w:r>
      <w:r>
        <w:rPr>
          <w:i/>
        </w:rPr>
        <w:t>L</w:t>
      </w:r>
      <w:r>
        <w:t xml:space="preserve">, a </w:t>
      </w:r>
      <w:r>
        <w:rPr>
          <w:i/>
        </w:rPr>
        <w:t>q</w:t>
      </w:r>
      <w:r>
        <w:t xml:space="preserve">-log endpoint is visible only above </w:t>
      </w:r>
      <w:r>
        <w:rPr>
          <w:i/>
        </w:rPr>
        <w:t>L</w:t>
      </w:r>
      <w:r>
        <w:t>·10^</w:t>
      </w:r>
      <w:r>
        <w:rPr>
          <w:i/>
        </w:rPr>
        <w:t>q</w:t>
      </w:r>
      <w:r>
        <w:t xml:space="preserve">; above </w:t>
      </w:r>
      <w:r>
        <w:rPr>
          <w:i/>
        </w:rPr>
        <w:t>L</w:t>
      </w:r>
      <w:r>
        <w:t>/</w:t>
      </w:r>
      <w:r>
        <w:rPr>
          <w:i/>
        </w:rPr>
        <w:t>c</w:t>
      </w:r>
      <w:r>
        <w:t xml:space="preserve">₁, with </w:t>
      </w:r>
      <w:r>
        <w:rPr>
          <w:i/>
        </w:rPr>
        <w:t>c</w:t>
      </w:r>
      <w:r>
        <w:t>₁ the lowest class threshold, a floor-level reading fits only the lowest class. Reaching the floor is the drug's doing; the label it permits is not.</w:t>
      </w:r>
    </w:p>
    <w:p>
      <w:r>
        <w:t xml:space="preserve">Of 217 </w:t>
      </w:r>
      <w:r>
        <w:rPr>
          <w:i/>
        </w:rPr>
        <w:t>Mycobacterium tuberculosis</w:t>
      </w:r>
      <w:r>
        <w:t xml:space="preserve"> isolates classified for rifampicin tolerance, 33 began too close to the floor to show the 99.99 per cent reduction used, and all 33 are recorded as failing. Of eighteen read at the floor, twelve admit one class, six admit two. The label tracks growth state, not isoniazid resistance; most of that runs through a ten-fold lower inoculum — the denominator it is cut on.</w:t>
      </w:r>
    </w:p>
    <w:p>
      <w:r>
        <w:t xml:space="preserve">Prospectively, </w:t>
      </w:r>
      <w:r>
        <w:rPr>
          <w:i/>
        </w:rPr>
        <w:t>Escherichia coli</w:t>
      </w:r>
      <w:r>
        <w:t xml:space="preserve"> ATCC 25922 at the standard inoculum could report 3.71–3.93 logs at 10 µL and 4.88–5.05 at 100 µL; at a cut of 10⁻³, six of 54 sample-times took two labels from one culture, the pipette alone deciding. Across the plated volumes these laboratories actually used, 100 down to 2.5 µL, demonstrable depth moves by 1.60 log10 as exact arithmetic. A tolerance call reported without its starting density and assay floor cannot be interpreted.</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w:t>
      </w:r>
    </w:p>
    <w:p>
      <w:r>
        <w:t>The experiment is simple. Grow the organism, add the drug, and at set times take a sample, dilute it, spread it on a plate, and count the colonies. Each colony stands for one bacterium that was alive when it was plated.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not to ignore the warning but to engineer around it. Rather than asking whether a culture went negative, the modern definition asks how many logs the population fell: the minimum duration for killing, MDK, is the time to a specified fractional reduction — 90, 99 or 99.99 per cent —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xml:space="preserve"> —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 the assay stopped looking —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 one deciding whether an endpoint is reachable, the other whether a floor-level reading identifies a class — and both are computed from quantities a time-kill protocol already records. Neither asks a laboratory to measure anything new.</w:t>
      </w:r>
    </w:p>
    <w:p>
      <w:r>
        <w:t xml:space="preserve">Answering that question at all requires deposits that record the three quantities the arithmetic needs — a starting density measured before treatment, a time series, and either a plated volume or a stated floor — and most do not. We assembled and inspected 78 candidate time-kill datasets one at a time. Of the 45 whose series could be read in full, </w:t>
      </w:r>
      <w:r>
        <w:rPr>
          <w:b/>
        </w:rPr>
        <w:t>36 state no assay floor by any route</w:t>
      </w:r>
      <w:r>
        <w:t>: not a limit of detection, not a limit of quantification, not a plated volume from which one could be derived. That number is not a preamble to the analysis; it is the first result, and it is why the five deposits carried forward are five rather than fifty.</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 one colony in a plated volume </w:t>
      </w:r>
      <w:r>
        <w:rPr>
          <w:i/>
        </w:rPr>
        <w:t>v</w:t>
      </w:r>
      <w:r>
        <w:t xml:space="preserve"> µL is </w:t>
      </w:r>
      <w:r>
        <w:rPr>
          <w:i/>
        </w:rPr>
        <w:t>L</w:t>
      </w:r>
      <w:r>
        <w:t xml:space="preserve"> = 1 000/</w:t>
      </w:r>
      <w:r>
        <w:rPr>
          <w:i/>
        </w:rPr>
        <w:t>v</w:t>
      </w:r>
      <w:r>
        <w:t xml:space="preserve"> per mL, and an MPN series uses the lowest table rung (4, 5).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The plate's floor sets how far down killing can be seen</w:t>
      </w:r>
    </w:p>
    <w:p>
      <w:r>
        <w:t>The most probable number (MPN) readings can only take the discrete values of an MPN table (4, 5) —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 xml:space="preserve">Each isolate therefore carries a fixed budget of killing the assay can see. At 15 days of prior culture the starting densities span 3.36 to 7.79 log10, so headroom — the distance from the starting density down to the floor — spans 2.00 to 6.42 log10 (Fig. 1B, Table 1). Both spans are the same 4.42 log10, and the fold figures quoted throughout are ten raised to the unrounded difference rather than to the displayed one. Against that budget the three deposited endpoints behave very differently. Every isolate has the room for a 90 or a 99 per cent reduction: 0 of 217 fall short in both cases. </w:t>
      </w:r>
      <w:r>
        <w:rPr>
          <w:b/>
        </w:rPr>
        <w:t>Thirty-three of 217 isolates — 15.2 per cent — lack the headroom for the 99.99 per cent endpoint</w:t>
      </w:r>
      <w:r>
        <w:t>, which is to say that a four-log reduction was unobservable for them before rifampicin was added. Two of those 33 carry a fourth label that the deposit writes literally as "MDR", conventionally multidrug-resistant. It is unordered with respect to the other three, so no ordered analysis can place it (Table S1); over the 203 isolates with an ordered label the same count is the 31 quoted above.</w:t>
      </w:r>
    </w:p>
    <w:p>
      <w:r>
        <w:t xml:space="preserve">All 33 are recorded as not having reached the endpoint — they sit at the </w:t>
      </w:r>
      <w:r>
        <w:rPr>
          <w:b/>
        </w:rPr>
        <w:t>assay ceiling</w:t>
      </w:r>
      <w:r>
        <w:t xml:space="preserve">. That is a census of the affected isolates, not an estimate. The ceiling is a different censoring mechanism from the floor and should not be read as its mirror. The floor censors the count: anything below </w:t>
      </w:r>
      <w:r>
        <w:rPr>
          <w:i/>
        </w:rPr>
        <w:t>L</w:t>
      </w:r>
      <w:r>
        <w:t xml:space="preserve"> is not reported as a count. The ceiling censors time: the killing assay runs six days, so an isolate that has not reached its endpoint by then is recorded at the last day rather than at the day it would have reached. One sets how deep the assay can see, the other how long it looks.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They are recovered here, and the data pin them only to the gaps between classes: at day 5 and 15 days of prior culture, low tolerance covers fractions below 10⁻³, medium covers 10⁻³ to 10⁻², and high exceeds 10⁻². Those cuts reproduce every usable class in the file, 203 of 203 (Table S2). Usable means the 203 of 217 isolates whose label is one of the three ordered classes; the other 14 carry the fourth, unordered category, the "MDR" label above, that no ordered analysis can place (Table S1). So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and the difference matters. Their starting densities span 265-fold, from 23 000 to 6.1 × 10⁶ per mL, so the same terminal reading implies a different range of compatible reductions in each. An isolate that began at 23 000 has demonstrated at least a 3.00-log reduction; one that began at 6.1 × 10⁶ at least 5.42 logs. In either case the true reduction may be anything from that bound down to complete kill. What the deposit records instead is a single number per isolate, </w:t>
      </w:r>
      <w:r>
        <w:rPr>
          <w:i/>
        </w:rPr>
        <w:t>L</w:t>
      </w:r>
      <w:r>
        <w:t>/</w:t>
      </w:r>
      <w:r>
        <w:rPr>
          <w:i/>
        </w:rPr>
        <w:t>N₀</w:t>
      </w:r>
      <w:r>
        <w:t>, and those recorded fractions span 265-fold, from 3.8 × 10⁻⁶ to 1.0 × 10⁻³ — exactly the span of the starting densities (Fig. 1C), because that is what the ratio is. They are upper bounds on survival, not measurements of it.</w:t>
      </w:r>
    </w:p>
    <w:p>
      <w:r>
        <w:t xml:space="preserve">The labels those eighteen received differ. Six isolates that began at 23 000 per mL received a fraction of 10⁻³ and were classified </w:t>
      </w:r>
      <w:r>
        <w:rPr>
          <w:b/>
        </w:rPr>
        <w:t>medium</w:t>
      </w:r>
      <w:r>
        <w:t xml:space="preserve"> tolerance; twelve that began at 230 000 or above received 10⁻⁴ or less and were classified </w:t>
      </w:r>
      <w:r>
        <w:rPr>
          <w:b/>
        </w:rPr>
        <w:t>low</w:t>
      </w:r>
      <w:r>
        <w:t>. A single cut on the starting density alone reproduces all eighteen (Table 2). That is a statement about the classification step and not about the killing: once a reading is censored at the floor, the starting density fixes which label the published rule is able to return.</w:t>
      </w:r>
    </w:p>
    <w:p>
      <w:r>
        <w:t>So for twelve of the eighteen the recorded label carries no information beyond the fact that the reading was censored, and for six it is not determinate at all. None of the eighteen is a measurement of the surviving fraction.</w:t>
      </w:r>
    </w:p>
    <w:p>
      <w:pPr>
        <w:spacing w:before="240"/>
      </w:pPr>
      <w:r>
        <w:rPr>
          <w:b/>
          <w:sz w:val="22"/>
        </w:rPr>
        <w:t>3. The affected isolates are named before the drug is added</w:t>
      </w:r>
    </w:p>
    <w:p>
      <w:r>
        <w:t>Sections 1 and 2 counted isolates. The two boundaries derived in the Methods do more than that.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230 000 per mL and </w:t>
      </w:r>
      <w:r>
        <w:rPr>
          <w:i/>
        </w:rPr>
        <w:t>N</w:t>
      </w:r>
      <w:r>
        <w:t>_id = 23/10⁻³ = 23 000 per mL. Applied to the 15-day panel, the first predicts 33 isolates unable to reach the 99.99 per cent endpoint. The second predicts that of the eighteen isolates whose reading rests on the floor, twelve have only the lowest class compatible with that reading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That agreement is an identity rather than a passed test. Once the label is a cut on the recorded fraction (Table S2)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How finely the agreement resolves also has to be stated. Among the eighteen the starting density takes only five values — 23 000 for six isolates, then 230 000 for eight, and 610 000, 2.3 × 10⁶ and 6.1 × 10⁶ for one, one and two — and </w:t>
      </w:r>
      <w:r>
        <w:rPr>
          <w:b/>
        </w:rPr>
        <w:t>no isolate lies strictly between *N*_id and *N*_reach</w:t>
      </w:r>
      <w:r>
        <w:t>. Any cut placed anywhere in that decade reproduces the same twelve-six split, so the split locates the boundary only to within an order of magnitude and is not by itself a sharp test of where it sits.</w:t>
      </w:r>
    </w:p>
    <w:p>
      <w:r>
        <w:t xml:space="preserve">What is sharp is the boundary case, and it is the part of this section that discriminates. Six isolates sit at exactly 23 000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and the claim is a prediction that any dataset reporting a starting density, a floor and a threshold classification can be checked against.</w:t>
      </w:r>
    </w:p>
    <w:p>
      <w:pPr>
        <w:spacing w:before="240"/>
      </w:pPr>
      <w:r>
        <w:rPr>
          <w:b/>
          <w:sz w:val="22"/>
        </w:rPr>
        <w:t>4. The plate calls a lung sterile while a culture finds thousands in it</w:t>
      </w:r>
    </w:p>
    <w:p>
      <w:r>
        <w:t>What sits beneath the floor is the one thing a plate cannot report, and in this organism it has been measured directly. Evangelopoulos and colleagues counted the same mouse lungs three ways — colony count, a molecular bacterial load from 16S rRNA, and a most probable number — on their way to a different question (6). Under the deepest regimens the colony count reads zero in every animal. In three arms, 18 lungs in all, the plate declared every lung sterile while the most probable number on that same tissue ran from 1 450 to 18 700 per lung. The molecular load can be dismissed as nucleic acid outliving its owner. The most probable number cannot, because it is a culture, and growth in a dilution series requires an organism that is alive and culturable. Those lungs held thousands of viable bacilli and the plate that reported them sterile could not see them. This is the region a relapse comes from, and in the mouse model used to decide which regimens enter clinical trials it is the region a colony count is blind to.</w:t>
      </w:r>
    </w:p>
    <w:p>
      <w:r>
        <w:t xml:space="preserve">That is one deposit. The screen reached four more </w:t>
      </w:r>
      <w:r>
        <w:rPr>
          <w:i/>
        </w:rPr>
        <w:t>M. tuberculosis</w:t>
      </w:r>
      <w:r>
        <w:t xml:space="preserve"> deposits whose floor could be established, and they are not reassuring. Across those five — sputum from pulmonary tuberculosis, axenic culture, an auxotrophic H37Rv panel and two drug-development series, with floors from 13 to 200 CFU/mL — </w:t>
      </w:r>
      <w:r>
        <w:rPr>
          <w:b/>
        </w:rPr>
        <w:t>184 of 310 series could not have demonstrated a four-log reduction however completely the drug worked, and 240 of 310 could not have demonstrated five</w:t>
      </w:r>
      <w:r>
        <w:t xml:space="preserve"> (Table S3). One of the five could not have shown four logs in a single one of its 123 series. None of these deposits carries the analysis above; they are what the same screen found in the same organism, and they say the reachability problem is not a property of one clinical panel.</w:t>
      </w:r>
    </w:p>
    <w:p>
      <w:pPr>
        <w:spacing w:before="240"/>
      </w:pPr>
      <w:r>
        <w:rPr>
          <w:b/>
          <w:sz w:val="22"/>
        </w:rPr>
        <w:t>5. The label tracks how fast an isolate grows, and its link to resistance cannot be separated from the inoculum</w:t>
      </w:r>
    </w:p>
    <w:p>
      <w:r>
        <w:t>We asked what the deposited tolerance label goes with. There are two candidate predictors, and each is tested at two culture ages and at two endpoint depths, which is eight tests in all. Eight tests on one question will throw up a false positive on their own, so we correct them together as one family. Two survive (Table S4).</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xml:space="preserve"> — until the starting density enters the model. On its own, a resistant isolate has 2.32 times the odds of a higher tolerance class (95 per cent CI 1.30 to 4.12, p = 0.0042). Adjusted for starting density the odds ratio falls to 1.31 (0.67 to 2.57, p = 0.42), and the interval no longer excludes one. We call that attenuation, not elimination. Starting density is the strongest term in the file: every ten-fold rise in the starting most probable number halves the odds of a higher tolerance class (OR 0.480, 0.340 to 0.677, p = 2.9 × 10⁻⁵).</w:t>
      </w:r>
    </w:p>
    <w:p>
      <w:r>
        <w:t>Why the adjustment does that is measurable. Isoniazid-resistant isolates go into this assay at 5.36 log10 against 6.36 for susceptible isolates, ten-fold thinner (Mann–Whitney p = 9.1 × 10⁻¹⁴) (7), and 26.2 per cent of them lack the headroom for the deepest endpoint against 7.6 per cent of susceptible isolates (Section 2). They are one log short of observable killing before the experiment begins.</w:t>
      </w:r>
    </w:p>
    <w:p>
      <w:r>
        <w:t>In that stratum the two surviving associations part company. Growth holds and still survives correction (OR 1.116, 1.040 to 1.198, p = 0.0024). Resistance does not: OR 2.11 (1.07 to 4.16, p = 0.031). It ranks second in the family of eight, so under Benjamini–Hochberg it must beat a critical value of 0.0125, and it does not.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6.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(8, 9). It does.</w:t>
      </w:r>
    </w:p>
    <w:p>
      <w:r>
        <w:t>At ten times the minimum inhibitory concentration of moxifloxacin all six laboratories return a positive kill rate, and the rates span 5.2-fold, from 0.090 to 0.464 log10 CFU/mL per day. Across all 30 laboratory-by-arm cells the Tobit estimate — a fit that treats a below-floor reading as below the floor rather than as a number — and the imputation estimate never differ by more than 0.006 log10 per day (Fig. 2A, Table S5). That agreement says the fit is not an artefact of the arithmetic used to reach it. It does not say the sub-floor assumption is safe: both estimators assume the same normal distribution below the floor, and nothing in this deposit can check that assumption from the inside.</w:t>
      </w:r>
    </w:p>
    <w:p>
      <w:r>
        <w:t>The two orderings do not correspond. Rank the laboratories by starting density and the three lowest are exactly the three that recorded crossings, the three highest exactly the three that did not, without exception. Rank them by kill rate and there is no such correspondence (Fig. 2B). Institute F has the highest starting density at 6.53 log10 among the treated flasks of this arm, kills faster than four of the other five at 0.223 log10 per day, and records no crossing. Institute E returns the slowest rate of all at 0.090 and also records none.</w:t>
      </w:r>
    </w:p>
    <w:p>
      <w:pPr>
        <w:spacing w:before="240"/>
      </w:pPr>
      <w:r>
        <w:rPr>
          <w:b/>
          <w:sz w:val="22"/>
        </w:rPr>
        <w:t>7. The same boundaries hold in an experiment the framework never saw</w:t>
      </w:r>
    </w:p>
    <w:p>
      <w:r>
        <w:t xml:space="preserve">Every section so far tests the framework on the deposits it was built from, and all of them are </w:t>
      </w:r>
      <w:r>
        <w:rPr>
          <w:i/>
        </w:rPr>
        <w:t>Mycobacterium tuberculosis</w:t>
      </w:r>
      <w:r>
        <w:t>. A search of five general repositories, the tuberculosis consortia, the persistence literature, food microbiology and the hollow-fibre field returned one deposit that carried all three fields the boundaries require and could be analysed cold.</w:t>
      </w:r>
    </w:p>
    <w:p>
      <w:r>
        <w:t>The point of this section is a deposit opened after every boundary and threshold was fixed, and only one deposit qualifies on that ground.</w:t>
      </w:r>
    </w:p>
    <w:p>
      <w:r>
        <w:t xml:space="preserve">That it is </w:t>
      </w:r>
      <w:r>
        <w:rPr>
          <w:i/>
        </w:rPr>
        <w:t>E. coli</w:t>
      </w:r>
      <w:r>
        <w:t xml:space="preserve"> in a hollow-fibre system rather than </w:t>
      </w:r>
      <w:r>
        <w:rPr>
          <w:i/>
        </w:rPr>
        <w:t>M. tuberculosis</w:t>
      </w:r>
      <w:r>
        <w:t xml:space="preserve"> in a flask makes it a harder test and not a softer one. A rule fitted to tuberculosis time-kill data could be expected to fit more tuberculosis time-kill data; what it has no right to survive is a different organism, a different drug class and a different apparatus. The boundaries are derived from definitions, so they predict they will survive exactly that, and this is where that prediction was put at risk.</w:t>
      </w:r>
    </w:p>
    <w:p>
      <w:r>
        <w:t xml:space="preserve">Dubey and colleagues (2026) report amoxicillin-clavulanate against </w:t>
      </w:r>
      <w:r>
        <w:rPr>
          <w:i/>
        </w:rPr>
        <w:t>Escherichia coli</w:t>
      </w:r>
      <w:r>
        <w:t xml:space="preserve"> in a hollow-fibre system (10, 11). Their Methods state 100 µL plated with counts per mL, so </w:t>
      </w:r>
      <w:r>
        <w:rPr>
          <w:i/>
        </w:rPr>
        <w:t>L</w:t>
      </w:r>
      <w:r>
        <w:t xml:space="preserve"> = 10 CFU/mL is derived rather than inferred, and the file corroborates the derivation: a 100 µL plate reporting per mL can return only multiples of ten, and all 229 genuine counts in the deposit are multiples of ten, the smallest exactly ten. Sixty-nine further entries read as one, which no 100 µL plate can produce; they are the deposit's placeholder for below the floor.</w:t>
      </w:r>
    </w:p>
    <w:p>
      <w:r>
        <w:t>Across the 20 cultures with a measured day-zero density, headroom runs from 4.85 to 5.45 log10. Endpoints at 1, 2, 3 and 4 logs are reachable for every culture. A 5-log endpoint is unreachable for 5 of 20. A 6-log endpoint is unreachable for all 20 (Table S6). On data it was not built from, the framework therefore locates the depth at which a sterilisation claim in this experiment stops being demonstrable.</w:t>
      </w:r>
    </w:p>
    <w:p>
      <w:r>
        <w:t xml:space="preserve">Two features of that deposit are worth recording because they are the failure modes this framework is meant to catch. Its Methods give a nominal inoculum of 10⁵ CFU/mL while the file measures a median of 1.215 × 10⁶, so taking </w:t>
      </w:r>
      <w:r>
        <w:rPr>
          <w:i/>
        </w:rPr>
        <w:t>N₀</w:t>
      </w:r>
      <w:r>
        <w:t xml:space="preserve"> from the Methods rather than from the data would have placed a full order of magnitude into every boundary. And its treated arm reads at or below the floor already at day zero while the paired control reads about 10⁶, so that sample was drawn after exposure rather than before it.</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 the starting densities that decide whether an endpoint is reachable and a label means anything — with its predictions written down before a plate was counted. </w:t>
      </w:r>
      <w:r>
        <w:rPr>
          <w:i/>
        </w:rPr>
        <w:t>Escherichia coli</w:t>
      </w:r>
      <w:r>
        <w:t xml:space="preserve"> ATCC 25922, of the American Type Culture Collection — the reference strain the standard names for quality control — against ciprofloxacin at ten times the concentration that stops it growing. Three seeding densities, two plated volumes, three flasks each, 216 plate readings.</w:t>
      </w:r>
    </w:p>
    <w:p>
      <w:r>
        <w:t xml:space="preserve">It is </w:t>
      </w:r>
      <w:r>
        <w:rPr>
          <w:i/>
        </w:rPr>
        <w:t>Escherichia coli</w:t>
      </w:r>
      <w:r>
        <w:t xml:space="preserve"> and not </w:t>
      </w:r>
      <w:r>
        <w:rPr>
          <w:i/>
        </w:rPr>
        <w:t>M. tuberculosis</w:t>
      </w:r>
      <w:r>
        <w:t xml:space="preserve">, and that is a design choice rather than a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is what makes the floor reachable in every arm and the prediction falsifiable in a week rather than a year. ATCC 25922 is not a substitute chosen for ease either: it is the quality-control reference strain the standard itself names, so the demonstration runs in the one organism whose assay geometry the standard defines.</w:t>
      </w:r>
    </w:p>
    <w:p>
      <w:r>
        <w:t xml:space="preserve">The middle arm was seeded on purpose at the 5 × 10⁵ per mL the standard specifies. The densities actually reached were 6.4 × 10⁴, 4.4 × 10⁵ and 3.8 × 10⁶ per mL, quoted as arm means. Those three figures are means and every figure after them is per flask, which is a distinction this experiment cannot leave implicit, because it decides a verdict. Taking the low arm as a single number gives it 3.81 logs of headroom at the 100 µL plating and rules the four-log endpoint out; taking its three flasks one at a time gives 4.19, 4.11 and 4.00, and rules it in for all three. The arithmetic is the same and the answer is opposite, because </w:t>
      </w:r>
      <w:r>
        <w:rPr>
          <w:i/>
        </w:rPr>
        <w:t>N</w:t>
      </w:r>
      <w:r>
        <w:t xml:space="preserve">₀ is not a setting the protocol supplies but a measurement made once per flask — which is this paper's own argument, met in its own data. Everything below is therefore reported per flask. </w:t>
      </w:r>
      <w:r>
        <w:rPr>
          <w:b/>
        </w:rPr>
        <w:t>At the standard inoculum plated at 10 µL, the deepest reduction the three flasks could report ran from 3.71 to 3.93 logs — each flask's own ceiling, not the drug's</w:t>
      </w:r>
      <w:r>
        <w:t xml:space="preserve"> — while those same three cultures plated at 100 µL ran from 4.88 to 5.05 (Table S7). Every flask is paired with itself across the two platings, so the comparison is within a culture rather than between cultures.</w:t>
      </w:r>
    </w:p>
    <w:p>
      <w:r>
        <w:t xml:space="preserve">That much is arithmetic, as Box 1 says.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 two different floors over one starting density — so they can fall either side of a class threshold and give one culture two labels. </w:t>
      </w:r>
      <w:r>
        <w:rPr>
          <w:b/>
        </w:rPr>
        <w:t>The quantity that could have come out zero is how often a real experiment lands in the window where those two fractions straddle the cut</w:t>
      </w:r>
      <w:r>
        <w:t>, and it depends on where the cut is (Table S8). Put the cut at one per cent and the window is nearly shut. Put it at one in a thousand, which is where the clinical classification analysed above cuts its lowest class, and six of 54 sample-times receive two different labels from one culture — one in nine.</w:t>
      </w:r>
    </w:p>
    <w:p>
      <w:pPr>
        <w:spacing w:before="240"/>
      </w:pPr>
      <w:r>
        <w:rPr>
          <w:b/>
          <w:sz w:val="24"/>
        </w:rPr>
        <w:t>Discussion</w:t>
      </w:r>
    </w:p>
    <w:p>
      <w:r>
        <w:t>Every clinical microbiologist knows that a negative culture taken under antibiotic exposure is not proof of sterility. That is not what this paper reports. What it reports is that the number brought in to replace that judgement carries the same defect — and once it is a number, it is harder to see.</w:t>
      </w:r>
    </w:p>
    <w:p>
      <w:r>
        <w:t>Fifteen per cent of the clinical isolates examined here could not have shown the deepest endpoint whatever the drug did to them, and every one of them is recorded as having failed to show it. Eighteen more ended on the floor, and one threshold on their starting density reproduces every label they were given. Whether those cultures reached the floor is a question about rifampicin. Which label they received once they were there is a question about arithmetic, and the starting density settles it.</w:t>
      </w:r>
    </w:p>
    <w:p>
      <w:r>
        <w:t xml:space="preserve">The standard is not silent on that choice, and this is the paper's sharpest finding rather than an awkwardness for it. M26-A's own section 1.3.2.5 is headed </w:t>
      </w:r>
      <w:r>
        <w:rPr>
          <w:i/>
        </w:rPr>
        <w:t>Volume Transferred</w:t>
      </w:r>
      <w:r>
        <w:t>, and it ties the volume to the endpoint with a counting rule: plate a volume such that, after the defined 99.9 per cent killing, at least ten colonies remain to be counted (12). It permits 10 to 100 µL, and gives a reason at each end — carryover above, Poisson sampling error below. Section 3.1 goes further and requires that the smallest accurately detectable count be established by serial dilution of a known inoculum. A guideline written in 1999 therefore already required both of the numbers this paper asks for: a floor established by measurement, and a plated volume chosen against the endpoint.</w:t>
      </w:r>
    </w:p>
    <w:p>
      <w:r>
        <w:t>Applied to its own endpoint the rule bites. Ten colonies after a 99.9 per cent kill of 5 × 10⁵ per mL needs at least 20 µL streaked; a 10 µL streak yields five and fails the rule. The requirement was there, it was quantitative, and the deposits reanalysed here do not meet it — not because their authors disregarded a standard, but because the endpoint moved out from under it. M26-A sets 99.9 per cent throughout and nowhere contemplates a four-log call; the deeper endpoints came later, and the volume rule did not travel with them.</w:t>
      </w:r>
    </w:p>
    <w:p>
      <w:r>
        <w:t>Take the assay's contribution out and something is left, not nothing, and what is left makes biological sense. Growth state predicts the tolerance class, and it still predicts it after adjustment for starting density, which is the expected direction: isoniazid needs KatG to activate it and needs active cell-wall synthesis (13), rifampicin needs transcription (14), and a population that is not dividing offers less of what these drugs act on. The axis the classification is reading is physiological state, not drug susceptibility.</w:t>
      </w:r>
    </w:p>
    <w:p>
      <w:r>
        <w:t>Several things about these deposits bound what the analysis can establish, and each points at the experiment that would settle the question. Those bearing on the claims made here are these; the rest are set out in the supplement.</w:t>
      </w:r>
    </w:p>
    <w:p>
      <w:r>
        <w:t xml:space="preserve">The first limitation is one this paper has already acted on rather than merely declared. Flasks from one laboratory share a starting culture; repeat isolates come from a patient already counted. Every conclusion drawn from the two primary deposits was recomputed at the level where the observations really are independent, and the outcome is listed one line at a time rather than summarised (Table S9): twenty survive unchanged, six survive with much wider uncertainty, five do not survive and </w:t>
      </w:r>
      <w:r>
        <w:rPr>
          <w:b/>
        </w:rPr>
        <w:t>have already been removed from the text above</w:t>
      </w:r>
      <w:r>
        <w:t>, and one is withdrawn because the "no difference" it was tested against was already false before any data were seen. The five and the one are not claims this paper makes; they are claims it tested and dropped, and the ledger is printed so a reader can check that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Report the starting density and the assay floor with every tolerance measurement.</w:t>
      </w:r>
      <w:r>
        <w:t xml:space="preserve"> The two together say how far down the experiment could look, and without that a log-reduction endpoint cannot be interpreted. Neither costs anything to record: one is the count that went into the flask, the other is what a single colony on the plate is worth. Thirty-six of the 45 deposits inspected in full in the course of this project state no limit anywhere — four in five of the datasets an investigator would actually reach for.</w:t>
      </w:r>
    </w:p>
    <w:p>
      <w:r>
        <w:rPr>
          <w:b/>
        </w:rPr>
        <w:t>Choose the depth of the endpoint to fit the headroom actually available, and do not densify the inoculum merely to buy more.</w:t>
      </w:r>
      <w:r>
        <w:t xml:space="preserve"> The inoculum this needs can be worked out before the experiment rather than diagnosed after it: seeding above </w:t>
      </w:r>
      <w:r>
        <w:rPr>
          <w:i/>
        </w:rPr>
        <w:t>L</w:t>
      </w:r>
      <w:r>
        <w:t xml:space="preserve"> · max(10^</w:t>
      </w:r>
      <w:r>
        <w:rPr>
          <w:i/>
        </w:rPr>
        <w:t>q</w:t>
      </w:r>
      <w:r>
        <w:t>, 1/</w:t>
      </w:r>
      <w:r>
        <w:rPr>
          <w:i/>
        </w:rPr>
        <w:t>c</w:t>
      </w:r>
      <w:r>
        <w:t>₁) makes both failure modes impossible — the endpoint that was never reachable, and the last count that lands on the floor. For this assay that is 230 000 per mL. But seeding higher also changes the experiment, because a denser culture is a different physiological state, and this paper's own finding is that physiological state is what the tolerance label tracks. Where the deep endpoint is wanted, lower the assay floor; where the headroom will not carry it either way, the shallower endpoint is the honest one, and the growth state belongs on the report whichever is chosen. This is a design decision that is currently not being made.</w:t>
      </w:r>
    </w:p>
    <w:p>
      <w:r>
        <w:rPr>
          <w:b/>
        </w:rPr>
        <w:t>Treat an endpoint at the floor as a bound, not a value.</w:t>
      </w:r>
      <w:r>
        <w:t xml:space="preserve"> A recorded fraction of </w:t>
      </w:r>
      <w:r>
        <w:rPr>
          <w:i/>
        </w:rPr>
        <w:t>L</w:t>
      </w:r>
      <w:r>
        <w:t>/</w:t>
      </w:r>
      <w:r>
        <w:rPr>
          <w:i/>
        </w:rPr>
        <w:t>N₀</w:t>
      </w:r>
      <w:r>
        <w:t xml:space="preserve"> is an upper limit on survival, not an estimate of it. Analysed as a measurement it manufactures differences between isolates whose final viable burdens the assay could not tell apart. It also hides the converse point: the range of true reductions a floor reading is compatible with depends on where that culture started, so the same censored reading stands for a different demonstrated kill at every starting density.</w:t>
      </w:r>
    </w:p>
    <w:p>
      <w:r>
        <w:rPr>
          <w:b/>
        </w:rPr>
        <w:t>Report physiological state as a required field.</w:t>
      </w:r>
      <w:r>
        <w:t xml:space="preserve"> It is what the classification is reading, and it is currently the least documented variable in the assay.</w:t>
      </w:r>
    </w:p>
    <w:p>
      <w:r>
        <w:rPr>
          <w:b/>
        </w:rPr>
        <w:t>Fix the inoculum, or adjust for it, before comparing tolerance across groups.</w:t>
      </w:r>
      <w:r>
        <w:t xml:space="preserve"> The comparison that motivated this work — resistant against susceptible isolates — is confounded by a ten-fold difference in starting density, and nobody knows why that difference is there. Until it is understood, group comparisons of tolerance in clinical isolates should carry the starting density as a covariate.</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not that tolerance is an artefact. It is that a tolerance call made without its headroom cannot be told apart from an inoculum measurement, and that the phenotype which does survive the correction is physiological state rather than drug susceptibility.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pPr>
        <w:spacing w:before="240"/>
      </w:pPr>
      <w:r>
        <w:rPr>
          <w:b/>
          <w:sz w:val="24"/>
        </w:rPr>
        <w:t>Materials and Methods</w:t>
      </w:r>
    </w:p>
    <w:p>
      <w:r>
        <w:rPr>
          <w:i/>
        </w:rPr>
        <w:t>The condensed account. The full account, with every estimator and every sensitivity analysis, is Supplementary Methods in the supplemental file.</w:t>
      </w:r>
    </w:p>
    <w:p>
      <w:pPr>
        <w:spacing w:before="240"/>
      </w:pPr>
      <w:r>
        <w:rPr>
          <w:b/>
          <w:sz w:val="22"/>
        </w:rPr>
        <w:t>Ethics</w:t>
      </w:r>
    </w:p>
    <w:p>
      <w:r>
        <w:t xml:space="preserve">This study reanalysed publicly available, de-identified datasets deposited by other groups, and generated one time-kill experiment in a reference strain of </w:t>
      </w:r>
      <w:r>
        <w:rPr>
          <w:i/>
        </w:rPr>
        <w:t>Escherichia coli</w:t>
      </w:r>
      <w:r>
        <w:t>. No human or animal subjects were involved, no patient samples were collected, and no individual is identifiable from any material presented here. The author is an independent researcher with no institutional affiliation, so no institutional review board holds jurisdiction; none is required either for secondary analysis of de-identified data already public under open licences or for work on a bacterial quality-control strain.</w:t>
      </w:r>
    </w:p>
    <w:p>
      <w:pPr>
        <w:spacing w:before="240"/>
      </w:pPr>
      <w:r>
        <w:rPr>
          <w:b/>
          <w:sz w:val="22"/>
        </w:rPr>
        <w:t>Use of generative artificial intelligence</w:t>
      </w:r>
    </w:p>
    <w:p>
      <w:r>
        <w:t>Anthropic's Claude (Opus 5) was used under the author's direction to copy-edit and language-edit the manuscript text and to prepare its final version.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reanalysed here was already public under an open licence and none was generated for this study. Each is identified in Table 3 and cited alongside the article that first described it: Vijay and colleagues (15, 16), van Wijk and colleagues (8, 9), Windels and colleagues (17, 18), Kaur and colleagues (19, 20), and the hollow-fibre Source Data of Dubey and colleagues (10, 11), held out of every fitting step. The readings from the prospective experiment are deposited with the analysis code.</w:t>
      </w:r>
    </w:p>
    <w:p>
      <w:r>
        <w:t>That code, both audit scripts, the headroom tool and the machine-readable receipts recording the software versions each stage ran under are in a public repository (21), with the documentation and test data needed to run them. It is dual-licensed: the code under the Massachusetts Institute of Technology (MIT) licence, and the manuscript, figures and results under CC BY 4.0. The deposits keep their depositors' own licences. It is at https://github.com/piranfar/detection-floor-tolerance-endpoints. [The commit identifier of the submitted version is to be inserted at submission.]</w:t>
      </w:r>
    </w:p>
    <w:p>
      <w:r>
        <w:t>Every number quoted in this manuscript regenerates from the deposits by that code, and two audit stages check the text against those results. Neither pins every cell of every table, as the Reproducibility subsection states.</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23 supplemental tables. Table S10, Table S11, Table S12, Table S13, Table S14, Table S15, Table S16, Table S17, Table S18, Table S19, Table S20, Table S21, Table S22 and Table S23 support analyses reported there rather than in this article, and are listed so that every supplemental item is named in the manuscript.</w:t>
      </w:r>
    </w:p>
    <w:p>
      <w:pPr>
        <w:spacing w:before="240"/>
      </w:pPr>
      <w:r>
        <w:rPr>
          <w:b/>
          <w:sz w:val="24"/>
        </w:rPr>
        <w:t>Tables</w:t>
      </w:r>
    </w:p>
    <w:p>
      <w:r>
        <w:rPr>
          <w:b/>
        </w:rPr>
        <w:t>Table 1.</w:t>
      </w:r>
      <w:r>
        <w:t xml:space="preserve"> The reduction each tolerance endpoint requires against the reduction the assay can resolve,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b/>
        </w:rPr>
        <w:t>Table 2.</w:t>
      </w:r>
      <w:r>
        <w:t xml:space="preserve"> Isolates whose day-5 reading was censored at the MPN floor. They share one reported floor-level observation, but their true final counts are unknown below the floor, so the assay cannot distinguish their final viable burdens; because their starting densities differ, the same reading also implies a different range of compatible fractional reductions in each. The recorded fraction is L/N0, so the spread in apparent survival equals the spread in starting density exactly, and the labels differ accordingly. The last three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Prior culture</w:t>
            </w:r>
          </w:p>
        </w:tc>
        <w:tc>
          <w:tcPr>
            <w:tcW w:type="dxa" w:w="1170"/>
          </w:tcPr>
          <w:p>
            <w:pPr>
              <w:spacing w:line="240" w:lineRule="auto" w:after="40"/>
            </w:pPr>
            <w:r>
              <w:rPr>
                <w:b/>
                <w:sz w:val="18"/>
              </w:rPr>
            </w:r>
            <w:r>
              <w:rPr>
                <w:b/>
                <w:sz w:val="18"/>
              </w:rPr>
              <w:t>At the floor</w:t>
            </w:r>
          </w:p>
        </w:tc>
        <w:tc>
          <w:tcPr>
            <w:tcW w:type="dxa" w:w="1170"/>
          </w:tcPr>
          <w:p>
            <w:pPr>
              <w:spacing w:line="240" w:lineRule="auto" w:after="40"/>
            </w:pPr>
            <w:r>
              <w:rPr>
                <w:b/>
                <w:sz w:val="18"/>
              </w:rPr>
            </w:r>
            <w:r>
              <w:rPr>
                <w:b/>
                <w:sz w:val="18"/>
              </w:rPr>
              <w:t>Starting density spread</w:t>
            </w:r>
          </w:p>
        </w:tc>
        <w:tc>
          <w:tcPr>
            <w:tcW w:type="dxa" w:w="1170"/>
          </w:tcPr>
          <w:p>
            <w:pPr>
              <w:spacing w:line="240" w:lineRule="auto" w:after="40"/>
            </w:pPr>
            <w:r>
              <w:rPr>
                <w:b/>
                <w:sz w:val="18"/>
              </w:rPr>
            </w:r>
            <w:r>
              <w:rPr>
                <w:b/>
                <w:sz w:val="18"/>
              </w:rPr>
              <w:t>Recorded survival spread</w:t>
            </w:r>
          </w:p>
        </w:tc>
        <w:tc>
          <w:tcPr>
            <w:tcW w:type="dxa" w:w="1170"/>
          </w:tcPr>
          <w:p>
            <w:pPr>
              <w:spacing w:line="240" w:lineRule="auto" w:after="40"/>
            </w:pPr>
            <w:r>
              <w:rPr>
                <w:b/>
                <w:sz w:val="18"/>
              </w:rPr>
            </w:r>
            <w:r>
              <w:rPr>
                <w:b/>
                <w:sz w:val="18"/>
              </w:rPr>
              <w:t>Labels assigned at the floor</w:t>
            </w:r>
          </w:p>
        </w:tc>
        <w:tc>
          <w:tcPr>
            <w:tcW w:type="dxa" w:w="1170"/>
          </w:tcPr>
          <w:p>
            <w:pPr>
              <w:spacing w:line="240" w:lineRule="auto" w:after="40"/>
            </w:pPr>
            <w:r>
              <w:rPr>
                <w:b/>
                <w:sz w:val="18"/>
              </w:rPr>
            </w:r>
            <w:r>
              <w:rPr>
                <w:b/>
                <w:sz w:val="18"/>
              </w:rPr>
              <w:t>Measured</w:t>
            </w:r>
          </w:p>
        </w:tc>
        <w:tc>
          <w:tcPr>
            <w:tcW w:type="dxa" w:w="1170"/>
          </w:tcPr>
          <w:p>
            <w:pPr>
              <w:spacing w:line="240" w:lineRule="auto" w:after="40"/>
            </w:pPr>
            <w:r>
              <w:rPr>
                <w:b/>
                <w:sz w:val="18"/>
              </w:rPr>
            </w:r>
            <w:r>
              <w:rPr>
                <w:b/>
                <w:sz w:val="18"/>
              </w:rPr>
              <w:t>Single compatible class</w:t>
            </w:r>
          </w:p>
        </w:tc>
        <w:tc>
          <w:tcPr>
            <w:tcW w:type="dxa" w:w="1170"/>
          </w:tcPr>
          <w:p>
            <w:pPr>
              <w:spacing w:line="240" w:lineRule="auto" w:after="40"/>
            </w:pPr>
            <w:r>
              <w:rPr>
                <w:b/>
                <w:sz w:val="18"/>
              </w:rPr>
            </w:r>
            <w:r>
              <w:rPr>
                <w:b/>
                <w:sz w:val="18"/>
              </w:rPr>
              <w:t>Multiple compatible classes</w:t>
            </w:r>
          </w:p>
        </w:tc>
      </w:tr>
      <w:tr>
        <w:tc>
          <w:tcPr>
            <w:tcW w:type="dxa" w:w="1170"/>
          </w:tcPr>
          <w:p>
            <w:pPr>
              <w:spacing w:line="240" w:lineRule="auto" w:after="40"/>
            </w:pPr>
            <w:r>
              <w:rPr>
                <w:sz w:val="18"/>
              </w:rPr>
            </w:r>
            <w:r>
              <w:rPr>
                <w:sz w:val="18"/>
              </w:rPr>
              <w:t>15 days</w:t>
            </w:r>
          </w:p>
        </w:tc>
        <w:tc>
          <w:tcPr>
            <w:tcW w:type="dxa" w:w="1170"/>
          </w:tcPr>
          <w:p>
            <w:pPr>
              <w:spacing w:line="240" w:lineRule="auto" w:after="40"/>
            </w:pPr>
            <w:r>
              <w:rPr>
                <w:sz w:val="18"/>
              </w:rPr>
            </w:r>
            <w:r>
              <w:rPr>
                <w:sz w:val="18"/>
              </w:rPr>
              <w:t>18</w:t>
            </w:r>
          </w:p>
        </w:tc>
        <w:tc>
          <w:tcPr>
            <w:tcW w:type="dxa" w:w="1170"/>
          </w:tcPr>
          <w:p>
            <w:pPr>
              <w:spacing w:line="240" w:lineRule="auto" w:after="40"/>
            </w:pPr>
            <w:r>
              <w:rPr>
                <w:sz w:val="18"/>
              </w:rPr>
            </w:r>
            <w:r>
              <w:rPr>
                <w:sz w:val="18"/>
              </w:rPr>
              <w:t>265x</w:t>
            </w:r>
          </w:p>
        </w:tc>
        <w:tc>
          <w:tcPr>
            <w:tcW w:type="dxa" w:w="1170"/>
          </w:tcPr>
          <w:p>
            <w:pPr>
              <w:spacing w:line="240" w:lineRule="auto" w:after="40"/>
            </w:pPr>
            <w:r>
              <w:rPr>
                <w:sz w:val="18"/>
              </w:rPr>
            </w:r>
            <w:r>
              <w:rPr>
                <w:sz w:val="18"/>
              </w:rPr>
              <w:t>265x</w:t>
            </w:r>
          </w:p>
        </w:tc>
        <w:tc>
          <w:tcPr>
            <w:tcW w:type="dxa" w:w="1170"/>
          </w:tcPr>
          <w:p>
            <w:pPr>
              <w:spacing w:line="240" w:lineRule="auto" w:after="40"/>
            </w:pPr>
            <w:r>
              <w:rPr>
                <w:sz w:val="18"/>
              </w:rPr>
            </w:r>
            <w:r>
              <w:rPr>
                <w:sz w:val="18"/>
              </w:rPr>
              <w:t>Low: 12, Medium: 6</w:t>
            </w:r>
          </w:p>
        </w:tc>
        <w:tc>
          <w:tcPr>
            <w:tcW w:type="dxa" w:w="1170"/>
          </w:tcPr>
          <w:p>
            <w:pPr>
              <w:spacing w:line="240" w:lineRule="auto" w:after="40"/>
            </w:pPr>
            <w:r>
              <w:rPr>
                <w:sz w:val="18"/>
              </w:rPr>
            </w:r>
            <w:r>
              <w:rPr>
                <w:sz w:val="18"/>
              </w:rPr>
              <w:t>185</w:t>
            </w:r>
          </w:p>
        </w:tc>
        <w:tc>
          <w:tcPr>
            <w:tcW w:type="dxa" w:w="1170"/>
          </w:tcPr>
          <w:p>
            <w:pPr>
              <w:spacing w:line="240" w:lineRule="auto" w:after="40"/>
            </w:pPr>
            <w:r>
              <w:rPr>
                <w:sz w:val="18"/>
              </w:rPr>
            </w:r>
            <w:r>
              <w:rPr>
                <w:sz w:val="18"/>
              </w:rPr>
              <w:t>12</w:t>
            </w:r>
          </w:p>
        </w:tc>
        <w:tc>
          <w:tcPr>
            <w:tcW w:type="dxa" w:w="1170"/>
          </w:tcPr>
          <w:p>
            <w:pPr>
              <w:spacing w:line="240" w:lineRule="auto" w:after="40"/>
            </w:pPr>
            <w:r>
              <w:rPr>
                <w:sz w:val="18"/>
              </w:rPr>
            </w:r>
            <w:r>
              <w:rPr>
                <w:sz w:val="18"/>
              </w:rPr>
              <w:t>6</w:t>
            </w:r>
          </w:p>
        </w:tc>
      </w:tr>
      <w:tr>
        <w:tc>
          <w:tcPr>
            <w:tcW w:type="dxa" w:w="1170"/>
          </w:tcPr>
          <w:p>
            <w:pPr>
              <w:spacing w:line="240" w:lineRule="auto" w:after="40"/>
            </w:pPr>
            <w:r>
              <w:rPr>
                <w:sz w:val="18"/>
              </w:rPr>
            </w:r>
            <w:r>
              <w:rPr>
                <w:sz w:val="18"/>
              </w:rPr>
              <w:t>60 days</w:t>
            </w:r>
          </w:p>
        </w:tc>
        <w:tc>
          <w:tcPr>
            <w:tcW w:type="dxa" w:w="1170"/>
          </w:tcPr>
          <w:p>
            <w:pPr>
              <w:spacing w:line="240" w:lineRule="auto" w:after="40"/>
            </w:pPr>
            <w:r>
              <w:rPr>
                <w:sz w:val="18"/>
              </w:rPr>
            </w:r>
            <w:r>
              <w:rPr>
                <w:sz w:val="18"/>
              </w:rPr>
              <w:t>6</w:t>
            </w:r>
          </w:p>
        </w:tc>
        <w:tc>
          <w:tcPr>
            <w:tcW w:type="dxa" w:w="1170"/>
          </w:tcPr>
          <w:p>
            <w:pPr>
              <w:spacing w:line="240" w:lineRule="auto" w:after="40"/>
            </w:pPr>
            <w:r>
              <w:rPr>
                <w:sz w:val="18"/>
              </w:rPr>
            </w:r>
            <w:r>
              <w:rPr>
                <w:sz w:val="18"/>
              </w:rPr>
              <w:t>100x</w:t>
            </w:r>
          </w:p>
        </w:tc>
        <w:tc>
          <w:tcPr>
            <w:tcW w:type="dxa" w:w="1170"/>
          </w:tcPr>
          <w:p>
            <w:pPr>
              <w:spacing w:line="240" w:lineRule="auto" w:after="40"/>
            </w:pPr>
            <w:r>
              <w:rPr>
                <w:sz w:val="18"/>
              </w:rPr>
            </w:r>
            <w:r>
              <w:rPr>
                <w:sz w:val="18"/>
              </w:rPr>
              <w:t>100x</w:t>
            </w:r>
          </w:p>
        </w:tc>
        <w:tc>
          <w:tcPr>
            <w:tcW w:type="dxa" w:w="1170"/>
          </w:tcPr>
          <w:p>
            <w:pPr>
              <w:spacing w:line="240" w:lineRule="auto" w:after="40"/>
            </w:pPr>
            <w:r>
              <w:rPr>
                <w:sz w:val="18"/>
              </w:rPr>
            </w:r>
            <w:r>
              <w:rPr>
                <w:sz w:val="18"/>
              </w:rPr>
              <w:t>Low: 6</w:t>
            </w:r>
          </w:p>
        </w:tc>
        <w:tc>
          <w:tcPr>
            <w:tcW w:type="dxa" w:w="1170"/>
          </w:tcPr>
          <w:p>
            <w:pPr>
              <w:spacing w:line="240" w:lineRule="auto" w:after="40"/>
            </w:pPr>
            <w:r>
              <w:rPr>
                <w:sz w:val="18"/>
              </w:rPr>
            </w:r>
            <w:r>
              <w:rPr>
                <w:sz w:val="18"/>
              </w:rPr>
              <w:t>191</w:t>
            </w:r>
          </w:p>
        </w:tc>
        <w:tc>
          <w:tcPr>
            <w:tcW w:type="dxa" w:w="1170"/>
          </w:tcPr>
          <w:p>
            <w:pPr>
              <w:spacing w:line="240" w:lineRule="auto" w:after="40"/>
            </w:pPr>
            <w:r>
              <w:rPr>
                <w:sz w:val="18"/>
              </w:rPr>
            </w:r>
            <w:r>
              <w:rPr>
                <w:sz w:val="18"/>
              </w:rPr>
              <w:t>6</w:t>
            </w:r>
          </w:p>
        </w:tc>
        <w:tc>
          <w:tcPr>
            <w:tcW w:type="dxa" w:w="1170"/>
          </w:tcPr>
          <w:p>
            <w:pPr>
              <w:spacing w:line="240" w:lineRule="auto" w:after="40"/>
            </w:pPr>
            <w:r>
              <w:rPr>
                <w:sz w:val="18"/>
              </w:rPr>
            </w:r>
            <w:r>
              <w:rPr>
                <w:sz w:val="18"/>
              </w:rPr>
              <w:t>0</w:t>
            </w:r>
          </w:p>
        </w:tc>
      </w:tr>
    </w:tbl>
    <w:p/>
    <w:p>
      <w:r>
        <w:rPr>
          <w:b/>
        </w:rPr>
        <w:t>Table 3.</w:t>
      </w:r>
      <w:r>
        <w:t xml:space="preserve"> The five published deposits reanalysed. Four carry the analysis and the fifth is held out to test it. None was generated for this study. The held-out deposit was opened after every boundary and threshold was fixed, which the commit history of the analysis repository timestamps; the other four were selected for the fields they carry, and that selection is not separately registered.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(18)</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Held out for validation</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Cochran WG. 1950. Estimation of bacterial densities by means of the "most probable number". Biometrics 6:105. https://doi.org/10.2307/3001491.</w:t>
      </w:r>
    </w:p>
    <w:p>
      <w:r>
        <w:t>5. Blodgett R. 2023. BAM appendix 2: most probable number from serial dilutions. Bacteriological analytical manual. US Food and Drug Administration, Silver Spring, MD. https://www.fda.gov/food/laboratory-methods-food/bam-appendix-2-most-probable-number-serial-dilutions.</w:t>
      </w:r>
    </w:p>
    <w:p>
      <w:r>
        <w:t>6.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7. Mann HB, Whitney DR. 1947. On a test of whether one of two random variables is stochastically larger than the other. Ann Math Stat 18:50-60. https://doi.org/10.1214/aoms/1177730491.</w:t>
      </w:r>
    </w:p>
    <w:p>
      <w:r>
        <w:t xml:space="preserve">8.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9.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10.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11.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12. National Committee for Clinical Laboratory Standards. 1999. Methods for determining bactericidal activity of antimicrobial agents; approved guideline. NCCLS document M26-A. National Committee for Clinical Laboratory Standards, Wayne, PA. ISBN 1-56238-384-1.</w:t>
      </w:r>
    </w:p>
    <w:p>
      <w:r>
        <w:t>13. Vilchèze C, Jacobs WR Jr. 2007. The mechanism of isoniazid killing: clarity through the scope of genetics. Annu Rev Microbiol 61:35-50. https://doi.org/10.1146/annurev.micro.61.111606.122346.</w:t>
      </w:r>
    </w:p>
    <w:p>
      <w:r>
        <w:t>14. Campbell EA, Korzheva N, Mustaev A, Murakami K, Nair S, Goldfarb A, Darst SA. 2001. Structural mechanism for rifampicin inhibition of bacterial RNA polymerase. Cell 104:901-912. https://doi.org/10.1016/S0092-8674(01)00286-0.</w:t>
      </w:r>
    </w:p>
    <w:p>
      <w:r>
        <w:t xml:space="preserve">15.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16.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17.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18.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19. Kaur P. 2024. Apramycin kills replicating and non-replicating </w:t>
      </w:r>
      <w:r>
        <w:rPr>
          <w:i/>
        </w:rPr>
        <w:t>Mycobacterium tuberculosis</w:t>
      </w:r>
      <w:r>
        <w:t xml:space="preserve"> — raw data. figshare. https://doi.org/10.6084/m9.figshare.26462791.v1.</w:t>
      </w:r>
    </w:p>
    <w:p>
      <w:r>
        <w:t xml:space="preserve">20. Kaur P, Ramya VK, Naveenkumar CN, Bharathkumar K, Singh M, Hobbie SN, Shandil RK, Narayanan S. 2024. Apramycin kills replicating and non-replicating </w:t>
      </w:r>
      <w:r>
        <w:rPr>
          <w:i/>
        </w:rPr>
        <w:t>Mycobacterium tuberculosis</w:t>
      </w:r>
      <w:r>
        <w:t>. Front Trop Dis 5:1413211. https://doi.org/10.3389/fitd.2024.1413211.</w:t>
      </w:r>
    </w:p>
    <w:p>
      <w:r>
        <w:t>21.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