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treated an MDK99.99 longer than ten days as high tolerance beyond the </w:t>
      </w:r>
      <w:r>
        <w:rPr>
          <w:b/>
        </w:rPr>
        <w:t>time</w:t>
      </w:r>
      <w:r>
        <w:t xml:space="preserve"> window of the assay, not as a statement about the count floor (1), and in the 217-isolate classification that follows they report MDK99.99 at 15 days could be calculated for only 22 of 209 isolates, the rest falling outside what that assay could resolve (2). The ERA4TB consortium requires below- and above-quantification-limit flags together with the limit of quantification (3); the same six-laboratory comparison then excluded both from its numerical analysis, and its 2025 protocol states the geometry explicitly: a 2.5 µL drop has a limit of detection above 2.6 log10 CFU/mL (4). Independently, censoring hollow-fibre counts below 10 CFU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NCCLS M26-A ties the plated volume to the endpoint and separately requires the smallest accurately detectable count to be established by serial dilution of a known inoculum (8). The endpoint has since moved and the rule did not travel with it, and the persistence field's own consensus guideline raises neither the limit of detection nor the plated volume nor how deep a reduction the assay can report (9).</w:t>
      </w:r>
    </w:p>
    <w:p>
      <w:r>
        <w:t xml:space="preserve">The two boundaries are tested here on a published rifampicin-tolerance classification of 217 clinical </w:t>
      </w:r>
      <w:r>
        <w:rPr>
          <w:i/>
        </w:rPr>
        <w:t>M. tuberculosis</w:t>
      </w:r>
      <w:r>
        <w:t xml:space="preserve"> isolates, which deposits alongside each call the starting most probable number, the growth rate, the isoniazid susceptibility and the killing readings the call was built from (2, 10); the class thresholds are not stated there and are recovered here (Results Section 2).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(Table 3). Both boundaries are then tested forward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across nine datasets, 58 regimens and 2,239 relapse observations, reaching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the loss from dropping the RS ratio can be recovered by adding model-estimated coefficients for the sterilising contribution of each drug, a substitution they license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this is not a lapse peculiar to it, since the field's own consensus guideline raises neither.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a range over the four laboratories that deposit an untreated day-zero reading at the 100 µL plating, and resampling whole laboratories runs from 0.05 to 2.33 log10, bounding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We agree with van Wijk and colleagues wherever the two analyses overlap. They noticed the spread in starting densities themselves, and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a defensible way to report an assay, but one that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so the conclusion is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than to separating two covariates. Telling the two apart needs a design that fixes the inoculum across laboratories.</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and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M26-A protocol fixes turbidity, not the plated depth a laboratory can actually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B at </w:t>
      </w:r>
      <w:r>
        <w:rPr>
          <w:i/>
        </w:rPr>
        <w:t>h</w:t>
      </w:r>
      <w:r>
        <w:t xml:space="preserve"> = 2.67, C at 3.61, D at 3.65, F at 5.00, each sitting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computed from the unrounded median, which Table S18 displays rounded to 6.08 log10.</w:t>
      </w:r>
    </w:p>
    <w:p>
      <w:r>
        <w:t>Distance from the McFarland reference is descriptive and reported as such (Table S19); sitting far below it is the intended state, since the inoculum is prepared by diluting from it, not a measure of protocol compliance. What sets the deepest log-kill an experiment can show is the measured starting density and the real assay floor, not the turbidity the preparation began from.</w:t>
      </w:r>
    </w:p>
    <w:p>
      <w:pPr>
        <w:spacing w:before="240"/>
      </w:pPr>
      <w:r>
        <w:rPr>
          <w:b/>
          <w:sz w:val="22"/>
        </w:rPr>
        <w:t>Text S2. A slower-killing culture can still cross the assay floor first, inverting the apparent ranking</w:t>
      </w:r>
    </w:p>
    <w:p>
      <w:r>
        <w:t xml:space="preserve">Take two flasks in the same treatment arm from different laboratories. Across 191 such pairs (45 further pairs the censoring could not settle are excluded rather than imputed, and the pairs are built from 42 flasks in six laboratories, not 191 independent trials), </w:t>
      </w:r>
      <w:r>
        <w:rPr>
          <w:b/>
        </w:rPr>
        <w:t>66 pairs (34.6 per cent) are inversions</w:t>
      </w:r>
      <w:r>
        <w:t xml:space="preserve">: the flask in which the population fell faster crossed below the assay floor later (Table S20).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without predicting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enough to flip which of two flasks fell faster in more than a third of the laboratory comparisons here, the practical stake for anyone choosing between compounds on this evidence.</w:t>
      </w:r>
    </w:p>
    <w:p>
      <w:pPr>
        <w:spacing w:before="240"/>
      </w:pPr>
      <w:r>
        <w:rPr>
          <w:b/>
          <w:sz w:val="22"/>
        </w:rPr>
        <w:t>Text S3. In two further deposits, reading the plate late or pooling across nutrient groups hides the drug-response relationship</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Across all 24 tests the weakest correlation this design could have detected runs 0.14 to 0.25 depending on the subgroup; the six strongest, listed in Table S22, span 0.14 to 0.18. Restricted to baseline isolates alone, the deepest 15-day endpoint gives ρ = −0.21, p = 0.0086,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Neither deposit shows the two axes are independent. Both show they are not positively coupled, which is what they can support.</w:t>
      </w:r>
    </w:p>
    <w:p>
      <w:pPr>
        <w:spacing w:before="240"/>
      </w:pPr>
      <w:r>
        <w:rPr>
          <w:b/>
          <w:sz w:val="22"/>
        </w:rPr>
        <w:t>Extended results for article section 1: Rifampicin tolerance in 217 clinical isolates is scored against an unreported assay floor</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but the reachability boundary does, by a full decade: 121 of 203 isolates lack the room for a four-log reduction against the day-2 floor, against 31 against the day-5 floor. At 60 days no pair of decade cuts reproduces the day-2 classes.</w:t>
      </w:r>
    </w:p>
    <w:p>
      <w:r>
        <w:t>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Two of those 33 carry a fourth label the deposit writes literally as "MDR" (conventionally multidrug-resistant), unordered with respect to the other three, so no ordered analysis can place it (Table S3); over the 203 isolates with an ordered label the count is 31.</w:t>
      </w:r>
    </w:p>
    <w:p>
      <w:r>
        <w:t>No p-value is attached to that contrast: an isolate with less than four logs of headroom cannot record a four-log reduction, so the 0-of-33 cell is fixed by arithmetic and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floor-level reading yields opposite tolerance labels depending on starting density</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floor predicts, before rifampicin is added, which isolates will be mislabeled</w:t>
      </w:r>
    </w:p>
    <w:p>
      <w:r>
        <w:rPr>
          <w:i/>
        </w:rPr>
        <w:t>Material held back from the article for length. It is reported here rather than dropped, because each paragraph answers a question a reader of that section may reasonably ask.</w:t>
      </w:r>
    </w:p>
    <w:p>
      <w:r>
        <w:t xml:space="preserve">That agreement is an identity rather than a passed test. Once the label is a cut on the recorded fraction (Table S2)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has to be stated too. Among the eighteen the starting density takes only five values: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Isoniazid-resistant isolates appear more rifampicin-tolerant, but the effect tracks a thinner inoculum, not resistance</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proportional-odds ordinal logistic regression, which does not assume the step from low to medium equals the step from medium to high. That fit makes an assumption of its own, that a single odds ratio serves both cut points, and it was tested rather than assumed (Methods; Table S4).</w:t>
      </w:r>
    </w:p>
    <w:p>
      <w:r>
        <w:t>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but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which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recorded for all 119 susceptible isolates and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standard error on the resistance coefficient inflates from 0.103 to 0.181, the complete case drops 17 resistant isolates and no susceptible one, leaving 186 rows against 203, and with it in the model the seeding gap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Six laboratories given one M. tuberculosis protocol still see six different assay floors</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Across all 30 laboratory-by-arm cells the Tobit estimate and the imputation estimate never differ by more than 0.006 log10 per day, which says the fit is not an artefact of the arithmetic used to reach it, not that the sub-floor assumption is safe: both estimators assume the same normal distribution below the floor, and nothing here can check that from the inside.</w:t>
      </w:r>
    </w:p>
    <w:p>
      <w:r>
        <w:t xml:space="preserve">The duration endpoint behaves differently on the same flasks. What it records is not clearance and not sterilisation but a </w:t>
      </w:r>
      <w:r>
        <w:rPr>
          <w:b/>
        </w:rPr>
        <w:t>first observed crossing below the assay floor</w:t>
      </w:r>
      <w:r>
        <w:t>, and the distinction matters: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and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What can be tested, since flasks are exchangeable across laboratories under the null,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two boundaries hold in a deposit never used to derive them, in a different organism and drug</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xml:space="preserve">. Of the 45 deposits whose series could be read in full, 18 permit reachability and identifiability to be computed once the floor is established on the tiers this paper uses for its own: stated by the depositor, derived from a recorded plated volume, or inferred from a pile-up of counts on a plate-plausible value. Seventeen of those are published literature; the eighteenth is this paper's own prospective </w:t>
      </w:r>
      <w:r>
        <w:rPr>
          <w:i/>
        </w:rPr>
        <w:t>E. coli</w:t>
      </w:r>
      <w:r>
        <w:t xml:space="preserve"> deposit (Section 8), included here because it passes the same screen, not because it is being counted twice. Across all eighteen, the condition both boundaries imply, that no series may present as a measurement a reduction deeper than its own floor allows, holds in 2,210 of 2,210 series (2,201 from the seventeen published deposits, 9 from this paper's own).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Extended results for article section 8: A prospective E. coli experiment confirms the floor artifact: one culture, two plated volumes, two conflicting labels</w:t>
      </w:r>
    </w:p>
    <w:p>
      <w:r>
        <w:rPr>
          <w:i/>
        </w:rPr>
        <w:t>Material held back from the article for length. It is reported here rather than dropped, because each paragraph answers a question a reader of that section may reasonably ask.</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Figure 2, because each requires its own disclaiming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S3.</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