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constraints from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and isoniazid-resistant tuberculosis, read at the edge of that floor, is where the distortion concentrates.</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grow the organism, add the drug, and at set times dilute a sample, spread it on a plate, and count the colonies, each standing for one bacterium alive when it was plated,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(90, 99 or 99.99 per cent)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(the assay stopped looking)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one deciding whether an endpoint is reachable and the other whether a floor-level reading identifies a class, and both are computed from quantities a time-kill protocol already records. Neither asks a laboratory to measure anything new.</w:t>
      </w:r>
    </w:p>
    <w:p>
      <w:r>
        <w:t xml:space="preserve">Answering that question at all requires deposits that record the three quantities the arithmetic needs (a starting density measured before treatment, a time series, and either a plated volume or a stated floor),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(5, 6)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run from 2 300 to 61 000 000 per mL (3.36 to 7.79 log10), so headroom, the distance from the starting density down to the floor, runs from 2.00 to 6.42 log10 (Fig. 1B, Table 1). Both spans are the same 4.42 log10. Subtracting the displayed endpoints does not reproduce that, and should not: every log10 here is computed from the raw most-probable-number rungs against a floor of 23 per mL and rounded once, at the end, so the deepest headroom displays as 6.42 rather than as the 6.43 that 7.79 minus 1.36 returns. The fold figures quoted throughout are likewise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(15.2 per cent)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31.</w:t>
      </w:r>
    </w:p>
    <w:p>
      <w:r>
        <w:t xml:space="preserve">All 33 are recorded as not having reached the endpoint, sitting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What the plate misses is not only what lies below its floor</w:t>
      </w:r>
    </w:p>
    <w:p>
      <w:r>
        <w:t>Everything above is about the floor. One published observation in this organism shows that the floor is not the only reason a colony count understates the population, and it is set out here because the two failures are easy to confuse and must not be.</w:t>
      </w:r>
    </w:p>
    <w:p>
      <w:r>
        <w:t>Evangelopoulos and colleagues counted the same mouse lungs three ways: colony count, a molecular bacterial load from 16S rRNA, and a most probable number, on their way to a different question (7).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Neither assay's floor is reported in the deposit, but for censoring to explain a plate reading of zero against 1 450 organisms in the same tissue, the colony count's floor would have to sit above 1 450 per lung, which would mean plating a vanishingly small fraction of the homogenate, far less than any lung protocol plates. The organisms were there, they were alive, they grew in a liquid dilution series, and they did not form colonies on solid medium. That is differential culturability, not censoring. It is a described phenotype of </w:t>
      </w:r>
      <w:r>
        <w:rPr>
          <w:i/>
        </w:rPr>
        <w:t>M. tuberculosis</w:t>
      </w:r>
      <w:r>
        <w:t xml:space="preserve"> with a literature of its own: bacilli that require resuscitation-promoting factors to grow dominate pre-treatment sputum and rise as a proportion of the population during chemotherapy (8), both resuscitation-promoting-factor-dependent and -independent differentially culturable populations are recovered from patients whose solid-medium cultures return nothing (9), and the mechanism has been reproduced experimentally: rifamycin action on RNA polymerase, independent of any assay's floor, converts a starved population to over 90 per cent differentially detectable in vitro (10); the same drug class every arm of the Evangelopoulos regimen carries.</w:t>
      </w:r>
    </w:p>
    <w:p>
      <w:r>
        <w:t>Keeping the two apart matters for what this paper claims. Reachability and identifiability are arithmetic on the plated volume; they hold whether or not every viable organism forms a colony, and they would hold in an assay with perfect culturability. Differential culturability is biology, it acts on the numerator rather than on the floor, and nothing in this paper derives it or measures it. Neither depends on the other, and they push the same way: a count that is both floored and culture-selective understates the surviving population twice over, and a log-reduction endpoint read off that count inherits the pair of them. The mouse model that decides which regimens enter clinical trials reads out in colony counts, and this is the region it reads them in.</w:t>
      </w:r>
    </w:p>
    <w:p>
      <w:r>
        <w:t xml:space="preserve">Back to the floor itself, and to what it costs. That deposit establishes no floor of its own. Five further </w:t>
      </w:r>
      <w:r>
        <w:rPr>
          <w:i/>
        </w:rPr>
        <w:t>M. tuberculosis</w:t>
      </w:r>
      <w:r>
        <w:t xml:space="preserve"> deposits in the same screen do, and they are not reassuring. Across those five, sputum from pulmonary tuberculosis, axenic culture, an auxotrophic H37Rv panel and two drug-development series, with floors from 13 to 200 CFU/mL, </w:t>
      </w:r>
      <w:r>
        <w:rPr>
          <w:b/>
        </w:rPr>
        <w:t>184 of 310 series could not have demonstrated a four-log reduction however completely the drug worked, and 240 of 310 could not have demonstrated five</w:t>
      </w:r>
      <w:r>
        <w:t xml:space="preserve"> (Table S4). One of the five could not have shown four logs in a single one of its 123 series. None of these five carries the analysis above, and none is among the five deposits reanalysed in this paper;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S5).</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until the starting density enters the model. On its own, a resistant isolate has 2.32 times the odds of a higher tolerance class (95 per cent CI 1.30 to 4.12, p = 0.0042). Adjusted for starting density the odds ratio falls to 1.31 (0.67 to 2.57, p = 0.42), and the interval no longer excludes one. The two figures estimate different things: the unadjusted 2.32 is the total effect of resistance on the label, and the adjusted 1.31 is the controlled direct effect with the inoculum held fixed under an assumption this deposit cannot test on its own: that starting density sits on the causal path as a mediator here rather than beside it as a confounder. The reverse reading is equally available a priori: if slow growth both thins the inoculum and causes genuine tolerance, adjusting for starting density would remove real signal rather than a confounder, not attenuate a spurious one (Discussion weighs the two readings against each other). The mediation decomposition under the mediator reading is Table S6. What is not in question, whichever reading is right, is that the association weakens once starting density enters the model: 185 of the 203 calls still rest on a measured, uncensored numerator.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(11), and 22 of the 84 resistant isolates carrying an ordered label lack the headroom for the deepest endpoint, 26.2 per cent, against 9 of the 119 susceptible, 7.6 per cent. Those two counts are the 31 of Section 1, which is that section's 33 less the two isolates whose label is the unordered fourth category. They are one log short of observable killing before the experiment begins.</w:t>
      </w:r>
    </w:p>
    <w:p>
      <w:r>
        <w:t>In that stratum the two surviving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(12, 13). It does.</w:t>
      </w:r>
    </w:p>
    <w:p>
      <w:r>
        <w:t>At ten times the minimum inhibitory concentration of moxifloxacin all six laboratories return a positive kill rate, and the rates span 5.2-fold, from 0.090 to 0.464 log10 CFU/mL per day. Across all 30 laboratory-by-arm cells the Tobit estimate (a fit that treats a below-floor reading as below the floor rather than as a number) and the imputation estimate never differ by more than 0.006 log10 per day (Fig. 2A, Table S7).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a split with probability 1/20 under chance alone, so it is reported as an ordering and not a test (Table S8).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 That is a statement about what that search returned, not about what exists.</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(14, 15).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Either that sample was drawn after exposure rather than before it, or the day-zero value is a placeholder or a transcription error; the file cannot distinguish the two, and we flag the reading rather than treat it as a measured time zero.</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(the starting densities that decide whether an endpoint is reachable and a label means anything), with its predictions written down before a plate was counted. </w:t>
      </w:r>
      <w:r>
        <w:rPr>
          <w:i/>
        </w:rPr>
        <w:t>Escherichia coli</w:t>
      </w:r>
      <w:r>
        <w:t xml:space="preserve"> ATCC 25922, of the American Type Culture Collection (the reference strain the standard names for quality control),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The distinction is not cosmetic: </w:t>
      </w:r>
      <w:r>
        <w:rPr>
          <w:i/>
        </w:rPr>
        <w:t>N</w:t>
      </w:r>
      <w:r>
        <w:t xml:space="preserve">₀ is not a setting the protocol supplies but a measurement made once per culture, so headroom belongs to a flask rather than to an arm. At the 100 µL plating the low arm's three flasks have 4.19, 4.11 and 4.00 logs of headroom, the last of them exactly at the four-log endpoint. Everything below is therefore reported per flask. </w:t>
      </w:r>
      <w:r>
        <w:rPr>
          <w:b/>
        </w:rPr>
        <w:t>At the standard inoculum plated at 10 µL, the deepest reduction the three flasks could report ran from 3.71 to 3.93 logs (each flask's own ceiling, not the drug's),</w:t>
      </w:r>
      <w:r>
        <w:t xml:space="preserve"> while those same three cultures plated at 100 µL ran from 4.88 to 5.05 (Fig. S5B, Table S10).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(two different floors over one starting density),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(Fig. S5C, Table S11). Put the cut at one per cent and the window is nearly shut. Put it at one in a thousand, which is where the clinical classification analysed above cuts its lowest class, and six of 54 sample-times receive two different labels from one culture (one in nine). That cut is imported from the tuberculosis classification; nothing in the E. coli experiment derives it, and it serves here as a ruler for the window's width, not as a claim about E. coli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and once it is a number, it is harder to see.</w:t>
      </w:r>
    </w:p>
    <w:p>
      <w:r>
        <w:t xml:space="preserve">The standard is not silent on that choice, and this is the paper's sharpest finding rather than an awkwardness for it. M26-A's own section 1.3.2.5, headed </w:t>
      </w:r>
      <w:r>
        <w:rPr>
          <w:i/>
        </w:rPr>
        <w:t>Volume Transferred</w:t>
      </w:r>
      <w:r>
        <w:t>, ties the volume to the endpoint with a counting rule: after the defined 99.9 per cent killing, at least ten colonies must remain (16)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that one regimen sterilises faster than another, or that a patient's isolates are becoming more tolerant over therapy, are in part conclusions about how the assay was set up. The correction applied here does not remove the biology; it aims it at the right target. The phenotype that survives the correction is growth state, which is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which is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It would not manufacture it. But the experiment cannot exclude carryover, and a repetition should include the control that would.</w:t>
      </w:r>
    </w:p>
    <w:p>
      <w:r>
        <w:t>Several limitations here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S8):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the endpoint that was never reachable, and the last count that lands on the floor. For this assay that is 230 000 per mL. Seeding higher also changes the experiment, because a denser culture is a different physiological state, and physiological state is what the tolerance label tracks, so where the deep endpoint is wanted, lower the assay floor;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resistant against susceptible isolates,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the ASTM International (American Society for Testing and Materials) guide E2315 sets out how to run and report a time-kill procedure in general (organism, media, neutralisation, raw counts)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S12),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Study design and data sources</w:t>
      </w:r>
    </w:p>
    <w:p>
      <w:r>
        <w:t xml:space="preserve">This study combined mathematical derivation, analysis of five public datasets, and a prospective </w:t>
      </w:r>
      <w:r>
        <w:rPr>
          <w:i/>
        </w:rPr>
        <w:t>Escherichia coli</w:t>
      </w:r>
      <w:r>
        <w:t xml:space="preserve"> experiment to examine how assay floors constrain antibiotic-tolerance endpoints. 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no limit of detection, no limit of quantification, and no plated volume from which one could be derived. Eighteen deposits carried enough information to compute both boundaries at all, and five carried the complete set of fields the full analysis requires (Table 3, Figure S4). The full pipeline, from this screen through the prospective test of both boundaries, is summarised in Figure S6.</w:t>
      </w:r>
    </w:p>
    <w:p>
      <w:r>
        <w:t>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(Vijay et al. 2024; eLife 93243 supplementary file 2) (21).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(van Wijk et al. 2023; figshare 19766083, CC BY 4.0) (12, 13). Moxifloxacin and isoniazid at one and ten times the minimum inhibitory concentration, three flasks per arm, each sample plated at four volumes: 100 µL quadruplicate, 10 µL as four drops, 10 µL as a single drop, and 2.5 µL as a single drop, giving three distinct floors spanning 1.60 log10 within a single flask-visit (22).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(Windels et al. 2024; Zenodo 10.5281/zenodo.7550302, CC BY 4.0) (23, 24).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(Kaur et al. 2024; figshare 26462791, CC BY 4.0) (25, 26). The 1 µg/mL arm shows net growth rather than killing and is excluded from the dose comparison, leaving 4 to 128 µg/mL as the range compared (Text S3).</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(Dubey et al. 2026; article Source Data, CC BY 4.0) (14, 15). It was the only deposit found carrying all three fields the boundaries require, and no boundary, threshold or modelling choice in this paper was informed by it; it is used nowhere else in the paper except to confirm them (Section 7).</w:t>
      </w:r>
    </w:p>
    <w:p>
      <w:r>
        <w:t>Each dataset's organism, drug, design and licence is summarised in Table 1; the complete screening manifest and exclusion reasons accompany the analysis code.</w:t>
      </w:r>
    </w:p>
    <w:p>
      <w:pPr>
        <w:spacing w:before="240"/>
      </w:pPr>
      <w:r>
        <w:rPr>
          <w:b/>
          <w:sz w:val="22"/>
        </w:rPr>
        <w:t>Prospective experimental validation</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(16, 27). The ciprofloxacin MIC, determined by CLSI reference broth microdilution (27, 28), was 0.008 mg/L, within the CLSI quality-control range for this strain (28);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headroom of 4.11, 4.94 and 5.88 logs at the pooled 100 µL floor, and 3.11, 3.94 and 4.88 logs at the pooled 10 µL floor, so the lowest arm is reachable for a four-log endpoint only at the deeper plating.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Assay floors and censoring</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is tabulated deposit by deposit (Table S13).</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it is the smallest value in the file, nothing lies below it in 1,932 readings, and the minimum shifts by exactly a factor of ten per culture age; the conclusions drawn from it hold across the full range the deposit's own MPN table admits (Table S14).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S15). Each below-limit flag in the six-laboratory deposit is judged against its own plated volume's floor rather than pooled to the least sensitive volume, since pooling would discard genuine quantified counts a more sensitive plating of the same sample recorded (Table S13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S16): the clinical deposit passes this rule at 0.40 log10 of support, and two of the five deposits fail it. This paper fits nothing to predict an MDK: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S12). The refusal holds across both well designs, both floor readings and two priors.</w:t>
      </w:r>
    </w:p>
    <w:p>
      <w:pPr>
        <w:spacing w:before="240"/>
      </w:pPr>
      <w:r>
        <w:rPr>
          <w:b/>
          <w:sz w:val="22"/>
        </w:rPr>
        <w:t>Reachability and identifiability boundaries</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₁) makes both failure modes impossible before an experiment runs.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(29); a censored reading contributes log Φ((limit − µ)/σ), the probability it fell below its own limit (Beal's M3 written for this assay (30)). As a computational consistency check, 50 imputed datasets were generated from the fitted truncated-normal distribution, analysed by ordinary least squares, and pooled using Rubin's rules (31); both procedures share the same distributional assumptions, and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(32), with starting density as a prespecified covariate; proportional odds was tested by a Brant test per predictor (33) and a likelihood-ratio test against a generalised ordered logit (34), with the partial-proportional-odds fit reported where it fails and checked against a multinomial fit assuming no ordering (Table S17).</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(35) are reported alongside Kaplan–Meier (36) and Cox proportional hazards (37) as descriptive summaries, with cluster bootstraps over laboratories and flasks (38) in place of the partial likelihood's independence assumption, and proportionality tested on Schoenfeld residuals (39, 40).</w:t>
      </w:r>
    </w:p>
    <w:p>
      <w:r>
        <w:rPr>
          <w:b/>
        </w:rPr>
        <w:t>The replicate-level bootstrap</w:t>
      </w:r>
      <w:r>
        <w:t xml:space="preserve"> (41) behind interval slopes resamples the three replicate counts with replacement, takes their mean, refits the concentration slope on each draw, and takes percentile intervals from 20,000 draws, reported instead of the least-squares fit through the deposited concentration means, which has two residual degrees of freedom and discards the replicate scatter. An interval on a proportion is the Jeffreys interval (42), which does not collapse to zero width at the sample sizes here.</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(43, 44),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S2):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S18).</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(45) at a false discovery rate of 5 per cent.</w:t>
      </w:r>
    </w:p>
    <w:p>
      <w:r>
        <w:t>Four procedures are implemented in the released analysis code rather than taken from a package: the Brant test, the partial-proportional-odds fit, the product-of-coefficients mediation, and the residual-correlation sensitivity. These live in `exp30_ordinal_tolerance.py` and `exp34_mediation.py`; the partial-proportional-odds likelihood is validated against the proportional-odds fit it nests, agreeing to 1.0 × 10⁻¹⁰ in log-likelihood.</w:t>
      </w:r>
    </w:p>
    <w:p>
      <w:r>
        <w:t>Analyses used Python 3.14 with numpy 2.5.0 (46), scipy 1.18.0 (47), pandas 3.0.3 (48), statsmodels 0.15.0 (49) and lifelines 0.30.3 (50).</w:t>
      </w:r>
    </w:p>
    <w:p>
      <w:pPr>
        <w:spacing w:before="240"/>
      </w:pPr>
      <w:r>
        <w:rPr>
          <w:b/>
          <w:sz w:val="22"/>
        </w:rPr>
        <w:t>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(21, 51), van Wijk and colleagues (12, 13), Windels and colleagues (23, 24), Kaur and colleagues (25, 26), and the hollow-fibre Source Data of Dubey and colleagues (14, 15),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(52),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59798f8+ of it.</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8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8. Mukamolova GV, Turapov O, Malkin J, Woltmann G, Barer MR. 2010. Resuscitation-promoting factors reveal an occult population of tubercle bacilli in sputum. Am J Respir Crit Care Med 181:174-180. https://doi.org/10.1164/rccm.200905-0661OC.</w:t>
      </w:r>
    </w:p>
    <w:p>
      <w:r>
        <w:t>9.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10.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11. Mann HB, Whitney DR. 1947. On a test of whether one of two random variables is stochastically larger than the other. Ann Math Stat 18:50-60. https://doi.org/10.1214/aoms/1177730491.</w:t>
      </w:r>
    </w:p>
    <w:p>
      <w:r>
        <w:t xml:space="preserve">12.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13.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14.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Tobin J. 1958. Estimation of relationships for limited dependent variables. Econometrica 26:24. https://doi.org/10.2307/1907382.</w:t>
      </w:r>
    </w:p>
    <w:p>
      <w:r>
        <w:t>30. Beal SL. 2001. Ways to fit a PK model with some data below the quantification limit. J Pharmacokinet Pharmacodyn 28:481-504. https://doi.org/10.1023/A:1012299115260.</w:t>
      </w:r>
    </w:p>
    <w:p>
      <w:r>
        <w:t>31. Rubin DB. 1987. Multiple imputation for nonresponse in surveys. John Wiley &amp; Sons, New York, NY. https://doi.org/10.1002/9780470316696.</w:t>
      </w:r>
    </w:p>
    <w:p>
      <w:r>
        <w:t>32. McCullagh P. 1980. Regression models for ordinal data. J R Stat Soc Series B Stat Methodol 42:109-127. https://doi.org/10.1111/j.2517-6161.1980.tb01109.x.</w:t>
      </w:r>
    </w:p>
    <w:p>
      <w:r>
        <w:t>33. Brant R. 1990. Assessing proportionality in the proportional odds model for ordinal logistic regression. Biometrics 46:1171-1178.</w:t>
      </w:r>
    </w:p>
    <w:p>
      <w:r>
        <w:t>34. Peterson B, Harrell FE Jr. 1990. Partial proportional odds models for ordinal response variables. J R Stat Soc Ser C Appl Stat 39:205. https://doi.org/10.2307/2347760.</w:t>
      </w:r>
    </w:p>
    <w:p>
      <w:r>
        <w:t>35. Turnbull BW. 1976. The empirical distribution function with arbitrarily grouped, censored and truncated data. J R Stat Soc Series B Stat Methodol 38:290-295. https://doi.org/10.1111/j.2517-6161.1976.tb01597.x.</w:t>
      </w:r>
    </w:p>
    <w:p>
      <w:r>
        <w:t>36. Kaplan EL, Meier P. 1958. Nonparametric estimation from incomplete observations. J Am Stat Assoc 53:457-481. https://doi.org/10.1080/01621459.1958.10501452.</w:t>
      </w:r>
    </w:p>
    <w:p>
      <w:r>
        <w:t>37. Cox DR. 1972. Regression models and life-tables. J R Stat Soc Series B Stat Methodol 34:187-202. https://doi.org/10.1111/j.2517-6161.1972.tb00899.x.</w:t>
      </w:r>
    </w:p>
    <w:p>
      <w:r>
        <w:t>38. Field CA, Welsh AH. 2007. Bootstrapping clustered data. J R Stat Soc Series B Stat Methodol 69:369-390. https://doi.org/10.1111/j.1467-9868.2007.00593.x.</w:t>
      </w:r>
    </w:p>
    <w:p>
      <w:r>
        <w:t>39. Schoenfeld D. 1982. Partial residuals for the proportional hazards regression model. Biometrika 69:239-241. https://doi.org/10.1093/biomet/69.1.239.</w:t>
      </w:r>
    </w:p>
    <w:p>
      <w:r>
        <w:t>40. Grambsch PM, Therneau TM. 1994. Proportional hazards tests and diagnostics based on weighted residuals. Biometrika 81:515-526. https://doi.org/10.1093/biomet/81.3.515.</w:t>
      </w:r>
    </w:p>
    <w:p>
      <w:r>
        <w:t>41. Efron B. 1979. Bootstrap methods: another look at the jackknife. Ann Stat 7:1-26. https://doi.org/10.1214/aos/1176344552.</w:t>
      </w:r>
    </w:p>
    <w:p>
      <w:r>
        <w:t>42. Brown LD, Cai TT, DasGupta A. 2001. Interval estimation for a binomial proportion. Stat Sci 16:101-133. https://doi.org/10.1214/ss/1009213286.</w:t>
      </w:r>
    </w:p>
    <w:p>
      <w:r>
        <w:t>43. Imai K, Keele L, Yamamoto T. 2010. Identification, inference and sensitivity analysis for causal mediation effects. Stat Sci 25:51-71. https://doi.org/10.1214/10-STS321.</w:t>
      </w:r>
    </w:p>
    <w:p>
      <w:r>
        <w:t>44. Baron RM, Kenny DA. 1986. The moderator-mediator variable distinction in social psychological research: conceptual, strategic, and statistical considerations. J Pers Soc Psychol 51:1173-1182. https://doi.org/10.1037/0022-3514.51.6.1173.</w:t>
      </w:r>
    </w:p>
    <w:p>
      <w:r>
        <w:t>45. Benjamini Y, Hochberg Y. 1995. Controlling the false discovery rate: a practical and powerful approach to multiple testing. J R Stat Soc Series B Stat Methodol 57:289-300. https://doi.org/10.1111/j.2517-6161.1995.tb02031.x.</w:t>
      </w:r>
    </w:p>
    <w:p>
      <w:r>
        <w:t>46.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47.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48. McKinney W. 2010. Data structures for statistical computing in Python. Proceedings of the 9th Python in Science Conference 56-61. https://doi.org/10.25080/Majora-92bf1922-00a.</w:t>
      </w:r>
    </w:p>
    <w:p>
      <w:r>
        <w:t>49. Seabold S, Perktold J. 2010. Statsmodels: econometric and statistical modeling with Python. Proceedings of the 9th Python in Science Conference 92-96. https://doi.org/10.25080/Majora-92bf1922-011.</w:t>
      </w:r>
    </w:p>
    <w:p>
      <w:r>
        <w:t>50. Davidson-Pilon C. 2019. lifelines: survival analysis in Python. J Open Source Softw 4:1317. https://doi.org/10.21105/joss.01317.</w:t>
      </w:r>
    </w:p>
    <w:p>
      <w:r>
        <w:t xml:space="preserve">51.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52.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