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The detection floor bounds tolerance endpoints in </w:t>
      </w:r>
      <w:r>
        <w:rPr>
          <w:b/>
          <w:i/>
          <w:sz w:val="28"/>
        </w:rPr>
        <w:t>Mycobacterium tuberculosis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5 | </w:t>
      </w:r>
      <w:r>
        <w:rPr>
          <w:b/>
        </w:rPr>
        <w:t>Supplemental tables:</w:t>
      </w:r>
      <w:r>
        <w:t xml:space="preserve"> 26</w:t>
      </w:r>
    </w:p>
    <w:p>
      <w:pPr>
        <w:spacing w:before="240"/>
      </w:pPr>
      <w:r>
        <w:rPr>
          <w:b/>
          <w:sz w:val="24"/>
        </w:rPr>
        <w:t>Abstract</w:t>
      </w:r>
    </w:p>
    <w:p>
      <w:r>
        <w:t>A culture that grows nothing after antibiotic exposure has never proved sterility, so tolerance is scored by how far the count fell: the minimum duration for killing. That endpoint is a fraction of the starting count, so the starting count should cancel, and in the definition it does. It stops cancelling once killing reaches the lowest density the assay can report, because the recorded fraction is then the assay floor divided by the starting density, and the drug has dropped out of it.</w:t>
      </w:r>
    </w:p>
    <w:p>
      <w:r>
        <w:t xml:space="preserve">Two boundaries follow from the definitions alone. For an assay floor </w:t>
      </w:r>
      <w:r>
        <w:rPr>
          <w:i/>
        </w:rPr>
        <w:t>L</w:t>
      </w:r>
      <w:r>
        <w:t xml:space="preserve">, a </w:t>
      </w:r>
      <w:r>
        <w:rPr>
          <w:i/>
        </w:rPr>
        <w:t>q</w:t>
      </w:r>
      <w:r>
        <w:t xml:space="preserve">-log endpoint is observable only in cultures started above </w:t>
      </w:r>
      <w:r>
        <w:rPr>
          <w:i/>
        </w:rPr>
        <w:t>L</w:t>
      </w:r>
      <w:r>
        <w:t>·10^</w:t>
      </w:r>
      <w:r>
        <w:rPr>
          <w:i/>
        </w:rPr>
        <w:t>q</w:t>
      </w:r>
      <w:r>
        <w:t xml:space="preserve">; that is reachability. Above </w:t>
      </w:r>
      <w:r>
        <w:rPr>
          <w:i/>
        </w:rPr>
        <w:t>L</w:t>
      </w:r>
      <w:r>
        <w:t>/</w:t>
      </w:r>
      <w:r>
        <w:rPr>
          <w:i/>
        </w:rPr>
        <w:t>c</w:t>
      </w:r>
      <w:r>
        <w:t xml:space="preserve">₁, with </w:t>
      </w:r>
      <w:r>
        <w:rPr>
          <w:i/>
        </w:rPr>
        <w:t>c</w:t>
      </w:r>
      <w:r>
        <w:t>₁ the lowest class threshold, a reading resting on the floor is compatible with only the lowest tolerance class, whatever the drug did; that is identifiability. Reaching the floor is the drug's doing; the label it permits is not.</w:t>
      </w:r>
    </w:p>
    <w:p>
      <w:r>
        <w:t>Seventy-eight published time-kill datasets were assembled and 45 inspected in full; of the 40 distinct literature deposits among them, 32 state no assay floor by any route. Five are reanalysed here — the floor derived in two, inferred in one and absent in two — and one new experiment tests both boundaries forward.</w:t>
      </w:r>
    </w:p>
    <w:p>
      <w:r>
        <w:t xml:space="preserve">Of 217 </w:t>
      </w:r>
      <w:r>
        <w:rPr>
          <w:i/>
        </w:rPr>
        <w:t>Mycobacterium tuberculosis</w:t>
      </w:r>
      <w:r>
        <w:t xml:space="preserve"> isolates classified for rifampicin tolerance, 33 began too close to the floor to show the 99.99 per cent reduction the classification is cut on, and all 33 are recorded as failing to reach it. Eighteen ended with their reading on the floor: twelve admit one tolerance class, six admit two. The label tracks how fast an isolate grows; it also tracks isoniazid resistance, but most of that runs through the starting density, which is ten-fold lower in the resistant isolates.</w:t>
      </w:r>
    </w:p>
    <w:p>
      <w:r>
        <w:t xml:space="preserve">Prospectively, </w:t>
      </w:r>
      <w:r>
        <w:rPr>
          <w:i/>
        </w:rPr>
        <w:t>Escherichia coli</w:t>
      </w:r>
      <w:r>
        <w:t xml:space="preserve"> ATCC 25922 at the standard inoculum could report 3.71 to 3.93 logs of killing at a 10 µL plating and 4.88 to 5.05 at 100 µL in the same cultures; at a cut of 10⁻³, six of 54 sample-times took two labels from one culture, the plated volume deciding. Across the volumes these laboratories actually plate, 100 down to 2.5 µL, demonstrable depth moves by 1.60 log10 as exact arithmetic. A tolerance call reported without its starting density and its assay floor cannot be interpreted.</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 grow the organism, add the drug, and at set times dilute a sample, spread it on a plate, and count the colonies, each standing for one bacterium alive when it was plated —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 90, 99 or 99.99 per cent —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xml:space="preserve"> —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 the assay stopped looking —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 one deciding whether an endpoint is reachable, the other whether a floor-level reading identifies a class — and both are computed from quantities a time-kill protocol already records. Neither asks a laboratory to measure anything new.</w:t>
      </w:r>
    </w:p>
    <w:p>
      <w:r>
        <w:t xml:space="preserve">Answering that question at all requires deposits that record the three quantities the arithmetic needs — a starting density measured before treatment, a time series, and either a plated volume or a stated floor —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 one colony in a plated volume </w:t>
      </w:r>
      <w:r>
        <w:rPr>
          <w:i/>
        </w:rPr>
        <w:t>v</w:t>
      </w:r>
      <w:r>
        <w:t xml:space="preserve"> µL is </w:t>
      </w:r>
      <w:r>
        <w:rPr>
          <w:i/>
        </w:rPr>
        <w:t>L</w:t>
      </w:r>
      <w:r>
        <w:t xml:space="preserve"> = 1 000/</w:t>
      </w:r>
      <w:r>
        <w:rPr>
          <w:i/>
        </w:rPr>
        <w:t>v</w:t>
      </w:r>
      <w:r>
        <w:t xml:space="preserve"> per mL, and an MPN series uses the lowest table rung (5, 6).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The plate's floor sets how far down killing can be seen</w:t>
      </w:r>
    </w:p>
    <w:p>
      <w:r>
        <w:t>The most probable number (MPN) readings can only take the discrete values of an MPN table (5, 6) —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 xml:space="preserve">Each isolate therefore carries a fixed budget of killing the assay can see. At 15 days of prior culture the starting densities run from 2 300 to 61 000 000 per mL — 3.36 to 7.79 log10 — so headroom, the distance from the starting density down to the floor, runs from 2.00 to 6.42 log10 (Fig. 1B, Table 1). Both spans are the same 4.42 log10. Subtracting the displayed endpoints does not reproduce that, and should not: every log10 here is computed from the raw most-probable-number rungs against a floor of 23 per mL and rounded once, at the end, so the deepest headroom displays as 6.42 rather than as the 6.43 that 7.79 minus 1.36 returns. The fold figures quoted throughout are likewise ten raised to the unrounded difference rather than to the displayed one. Against that budget the three deposited endpoints behave very differently. Every isolate has the room for a 90 or a 99 per cent reduction: 0 of 217 fall short in both cases. </w:t>
      </w:r>
      <w:r>
        <w:rPr>
          <w:b/>
        </w:rPr>
        <w:t>Thirty-three of 217 isolates — 15.2 per cent — lack the headroom for the 99.99 per cent endpoint</w:t>
      </w:r>
      <w:r>
        <w:t>, which is to say that a four-log reduction was unobservable for them before rifampicin was added. Two of those 33 carry a fourth label that the deposit writes literally as "MDR", conventionally multidrug-resistant. It is unordered with respect to the other three, so no ordered analysis can place it (Table S2); over the 203 isolates with an ordered label the same count is 31.</w:t>
      </w:r>
    </w:p>
    <w:p>
      <w:r>
        <w:t xml:space="preserve">All 33 are recorded as not having reached the endpoint — they sit at the </w:t>
      </w:r>
      <w:r>
        <w:rPr>
          <w:b/>
        </w:rPr>
        <w:t>assay ceiling</w:t>
      </w:r>
      <w:r>
        <w:t xml:space="preserve">. That is a census of the affected isolates, not an estimate. The ceiling is a different censoring mechanism from the floor and should not be read as its mirror. The floor censors the count: anything below </w:t>
      </w:r>
      <w:r>
        <w:rPr>
          <w:i/>
        </w:rPr>
        <w:t>L</w:t>
      </w:r>
      <w:r>
        <w:t xml:space="preserve"> is not reported as a count. The ceiling censors time: the killing assay runs six days, so an isolate that has not reached its endpoint by then is recorded at the last day rather than at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They are recovered here, and the data pin them only to the gaps between classes: at day 5 and 15 days of prior culture, low tolerance covers fractions below 10⁻³, medium covers 10⁻³ to 10⁻², and high exceeds 10⁻². Those cuts reproduce every usable class in the file, 203 of 203 (Table S3). Usable means the 203 of 217 isolates whose label is one of the three ordered classes; the other 14 carry the fourth, unordered category, the "MDR" label above, that no ordered analysis can place (Table S2). So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and the difference matters. Their starting densities span 265-fold, from 23 000 to 6.1 × 10⁶ per mL, so the same terminal reading implies a different range of compatible reductions in each. An isolate that began at 23 000 has demonstrated at least a 3.00-log reduction; one that began at 6.1 × 10⁶ at least 5.42 logs. In either case the true reduction may be anything from that bound down to complete kill. What the deposit records instead is a single number per isolate, </w:t>
      </w:r>
      <w:r>
        <w:rPr>
          <w:i/>
        </w:rPr>
        <w:t>L</w:t>
      </w:r>
      <w:r>
        <w:t>/</w:t>
      </w:r>
      <w:r>
        <w:rPr>
          <w:i/>
        </w:rPr>
        <w:t>N₀</w:t>
      </w:r>
      <w:r>
        <w:t>, and those recorded fractions span 265-fold, from 3.8 × 10⁻⁶ to 1.0 × 10⁻³ — exactly the span of the starting densities (Fig. 1C), because that is what the ratio is. They are upper bounds on survival, not measurements of it.</w:t>
      </w:r>
    </w:p>
    <w:p>
      <w:r>
        <w:t xml:space="preserve">The labels those eighteen received differ. Six isolates that began at 23 000 per mL received a fraction of 10⁻³ and were classified </w:t>
      </w:r>
      <w:r>
        <w:rPr>
          <w:b/>
        </w:rPr>
        <w:t>medium</w:t>
      </w:r>
      <w:r>
        <w:t xml:space="preserve"> tolerance; twelve that began at 230 000 or above received 10⁻⁴ or less and were classified </w:t>
      </w:r>
      <w:r>
        <w:rPr>
          <w:b/>
        </w:rPr>
        <w:t>low</w:t>
      </w:r>
      <w:r>
        <w:t>. A single cut on the starting density alone reproduces all eighteen (Table 2). That is a statement about the classification step and not about the killing: once a reading is censored at the floor, the starting density fixes which label the published rule is able to return.</w:t>
      </w:r>
    </w:p>
    <w:p>
      <w:r>
        <w:t>So for twelve of the eighteen the recorded label carries no information beyond the fact that the reading was censored, and for six it is not determinate at all. None of the eighteen is a measurement of the surviving fraction.</w:t>
      </w:r>
    </w:p>
    <w:p>
      <w:pPr>
        <w:spacing w:before="240"/>
      </w:pPr>
      <w:r>
        <w:rPr>
          <w:b/>
          <w:sz w:val="22"/>
        </w:rPr>
        <w:t>3. The affected isolates are named before the drug is added</w:t>
      </w:r>
    </w:p>
    <w:p>
      <w:r>
        <w:t>Sections 1 and 2 counted isolates. The two boundaries derived in the Methods do more than that.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230 000 per mL and </w:t>
      </w:r>
      <w:r>
        <w:rPr>
          <w:i/>
        </w:rPr>
        <w:t>N</w:t>
      </w:r>
      <w:r>
        <w:t>_id = 23/10⁻³ = 23 000 per mL. Applied to the 15-day panel, the first predicts 33 isolates unable to reach the 99.99 per cent endpoint. The second predicts that of the eighteen isolates whose reading rests on the floor, twelve have only the lowest class compatible with that reading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and it is the part of this section that discriminates. Six isolates sit at exactly 23 000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and the claim is a prediction that any dataset reporting a starting density, a floor and a threshold classification can be checked against.</w:t>
      </w:r>
    </w:p>
    <w:p>
      <w:pPr>
        <w:spacing w:before="240"/>
      </w:pPr>
      <w:r>
        <w:rPr>
          <w:b/>
          <w:sz w:val="22"/>
        </w:rPr>
        <w:t>4. What the plate misses is not only what lies below its floor</w:t>
      </w:r>
    </w:p>
    <w:p>
      <w:r>
        <w:t>Everything above is about the floor. One published observation in this organism shows that the floor is not the only reason a colony count understates the population, and it is set out here because the two failures are easy to confuse and must not be.</w:t>
      </w:r>
    </w:p>
    <w:p>
      <w:r>
        <w:t>Evangelopoulos and colleagues counted the same mouse lungs three ways — colony count, a molecular bacterial load from 16S rRNA, and a most probable number — on their way to a different question (7). Under the deepest regimens the colony count reads zero in every animal. In three arms, 18 lungs in all, the plate declared every lung sterile while the most probable number on that same tissue ran from 1 450 to 18 700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Neither assay's floor is reported in the deposit, but for censoring to explain a plate reading of zero against 1 450 organisms in the same tissue, the colony count's floor would have to sit above 1 450 per lung — which would mean plating a vanishingly small fraction of the homogenate, far less than any lung protocol plates. The organisms were there, they were alive, they grew in a liquid dilution series, and they did not form colonies on solid medium. That is differential culturability, not censoring. It is a described phenotype of </w:t>
      </w:r>
      <w:r>
        <w:rPr>
          <w:i/>
        </w:rPr>
        <w:t>M. tuberculosis</w:t>
      </w:r>
      <w:r>
        <w:t xml:space="preserve"> with a literature of its own: bacilli that require resuscitation-promoting factors to grow dominate pre-treatment sputum and rise as a proportion of the population during chemotherapy (8), both resuscitation-promoting-factor-dependent and -independent differentially culturable populations are recovered from patients whose solid-medium cultures return nothing (9), and the mechanism has been reproduced experimentally: rifamycin action on RNA polymerase, independent of any assay's floor, converts a starved population to over 90 per cent differentially detectable in vitro (10) — the same drug class every arm of the Evangelopoulos regimen carries.</w:t>
      </w:r>
    </w:p>
    <w:p>
      <w:r>
        <w:t>Keeping the two apart matters for what this paper claims. Reachability and identifiability are arithmetic on the plated volume; they hold whether or not every viable organism forms a colony, and they would hold in an assay with perfect culturability. Differential culturability is biology, it acts on the numerator rather than on the floor, and nothing in this paper derives it or measures it. Neither depends on the other, and they push the same way: a count that is both floored and culture-selective understates the surviving population twice over, and a log-reduction endpoint read off that count inherits the pair of them. The mouse model that decides which regimens enter clinical trials reads out in colony counts, and this is the region it reads them in.</w:t>
      </w:r>
    </w:p>
    <w:p>
      <w:r>
        <w:t xml:space="preserve">Back to the floor itself, and to what it costs. That deposit establishes no floor of its own. Five further </w:t>
      </w:r>
      <w:r>
        <w:rPr>
          <w:i/>
        </w:rPr>
        <w:t>M. tuberculosis</w:t>
      </w:r>
      <w:r>
        <w:t xml:space="preserve"> deposits in the same screen do, and they are not reassuring. Across those five — sputum from pulmonary tuberculosis, axenic culture, an auxotrophic H37Rv panel and two drug-development series, with floors from 13 to 200 CFU/mL — </w:t>
      </w:r>
      <w:r>
        <w:rPr>
          <w:b/>
        </w:rPr>
        <w:t>184 of 310 series could not have demonstrated a four-log reduction however completely the drug worked, and 240 of 310 could not have demonstrated five</w:t>
      </w:r>
      <w:r>
        <w:t xml:space="preserve"> (Table S4). One of the five could not have shown four logs in a single one of its 123 series. None of these five carries the analysis above, and none is among the five deposits reanalysed in this paper; they are what the same screen found in the same organism, and they say the reachability problem is not a property of one clinical panel.</w:t>
      </w:r>
    </w:p>
    <w:p>
      <w:pPr>
        <w:spacing w:before="240"/>
      </w:pPr>
      <w:r>
        <w:rPr>
          <w:b/>
          <w:sz w:val="22"/>
        </w:rPr>
        <w:t>5. The label tracks how fast an isolate grows, and its link to resistance cannot be separated from the inoculum</w:t>
      </w:r>
    </w:p>
    <w:p>
      <w:r>
        <w:t>We asked what the deposited tolerance label goes with. There are two candidate predictors, and each is tested at two culture ages and at two endpoint depths, which is eight tests in all. Eight tests on one question will throw up a false positive on their own, so we correct them together as one family. Two survive (Table S5).</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xml:space="preserve"> — until the starting density enters the model. On its own, a resistant isolate has 2.32 times the odds of a higher tolerance class (95 per cent CI 1.30 to 4.12, p = 0.0042). Adjusted for starting density the odds ratio falls to 1.31 (0.67 to 2.57, p = 0.42), and the interval no longer excludes one. The two figures estimate different things: the unadjusted 2.32 is the total effect of resistance on the label, and the adjusted 1.31 is the controlled direct effect with the inoculum held fixed, since starting density sits on the causal path as a mediator here rather than as a confounder — the mediation decomposition is Table S6. Call this attenuation rather than elimination: 185 of the 203 calls still rest on a measured, uncensored numerator. Starting density is the strongest term in the file: every ten-fold rise in the starting most probable number halves the odds of a higher tolerance class (OR 0.480, 0.340 to 0.677, p = 2.9 × 10⁻⁵).</w:t>
      </w:r>
    </w:p>
    <w:p>
      <w:r>
        <w:t>Why the adjustment does that is measurable. Isoniazid-resistant isolates go into this assay at 5.36 log10 against 6.36 for susceptible isolates, ten-fold thinner (Mann–Whitney p = 9.1 × 10⁻¹⁴) (11), and 22 of the 84 resistant isolates carrying an ordered label lack the headroom for the deepest endpoint, 26.2 per cent, against 9 of the 119 susceptible, 7.6 per cent. Those two counts are the 31 of Section 1, which is that section's 33 less the two isolates whose label is the unordered fourth category. They are one log short of observable killing before the experiment begins.</w:t>
      </w:r>
    </w:p>
    <w:p>
      <w:r>
        <w:t>In that stratum the two surviving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6.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(12, 13). It does.</w:t>
      </w:r>
    </w:p>
    <w:p>
      <w:r>
        <w:t>At ten times the minimum inhibitory concentration of moxifloxacin all six laboratories return a positive kill rate, and the rates span 5.2-fold, from 0.090 to 0.464 log10 CFU/mL per day. Across all 30 laboratory-by-arm cells the Tobit estimate — a fit that treats a below-floor reading as below the floor rather than as a number — and the imputation estimate never differ by more than 0.006 log10 per day (Fig. 2A, Table S7). That agreement says the fit is not an artefact of the arithmetic used to reach it. It does not say the sub-floor assumption is safe: both estimators assume the same normal distribution below the floor, and nothing in this deposit can check that assumption from the inside.</w:t>
      </w:r>
    </w:p>
    <w:p>
      <w:r>
        <w:t>The two orderings do not correspond. Rank the laboratories by starting density and the three lowest are exactly the three that recorded crossings, the three highest exactly the three that did not, without exception — a split with probability 1/20 under chance alone, so it is reported as an ordering and not a test (Table S8). Rank them by kill rate and there is no such correspondence (Fig. 2B). Institute F has the highest starting density at 6.53 log10 among the treated flasks of this arm, kills faster than four of the other five at 0.223 log10 per day, and records no crossing. Institute E returns the slowest rate of all at 0.090 and also records none.</w:t>
      </w:r>
    </w:p>
    <w:p>
      <w:pPr>
        <w:spacing w:before="240"/>
      </w:pPr>
      <w:r>
        <w:rPr>
          <w:b/>
          <w:sz w:val="22"/>
        </w:rPr>
        <w:t>7. The same boundaries hold in an experiment the framework never saw</w:t>
      </w:r>
    </w:p>
    <w:p>
      <w:r>
        <w:t xml:space="preserve">Every section so far tests the framework on the deposits it was built from, and all of them are </w:t>
      </w:r>
      <w:r>
        <w:rPr>
          <w:i/>
        </w:rPr>
        <w:t>Mycobacterium tuberculosis</w:t>
      </w:r>
      <w:r>
        <w:t>. A search of five general repositories, the tuberculosis consortia, the persistence literature, food microbiology and the hollow-fibre field returned one deposit that carried all three fields the boundaries require and could be analysed cold. That is a statement about what that search returned, not about what exists.</w:t>
      </w:r>
    </w:p>
    <w:p>
      <w:r>
        <w:t>The point of this section is a deposit opened after every boundary and threshold was fixed, and only one deposit qualifies on that ground.</w:t>
      </w:r>
    </w:p>
    <w:p>
      <w:r>
        <w:t xml:space="preserve">That it is </w:t>
      </w:r>
      <w:r>
        <w:rPr>
          <w:i/>
        </w:rPr>
        <w:t>E. coli</w:t>
      </w:r>
      <w:r>
        <w:t xml:space="preserve"> in a hollow-fibre system rather than </w:t>
      </w:r>
      <w:r>
        <w:rPr>
          <w:i/>
        </w:rPr>
        <w:t>M. tuberculosis</w:t>
      </w:r>
      <w:r>
        <w:t xml:space="preserve"> in a flask makes it a harder test and not a softer one. A rule fitted to tuberculosis time-kill data could be expected to fit more tuberculosis time-kill data; what it has no right to survive is a different organism, a different drug class and a different apparatus. The boundaries are derived from definitions, so they predict they will survive exactly that, and this is where that prediction was put at risk.</w:t>
      </w:r>
    </w:p>
    <w:p>
      <w:r>
        <w:t xml:space="preserve">Dubey and colleagues (2026) report amoxicillin-clavulanate against </w:t>
      </w:r>
      <w:r>
        <w:rPr>
          <w:i/>
        </w:rPr>
        <w:t>Escherichia coli</w:t>
      </w:r>
      <w:r>
        <w:t xml:space="preserve"> in a hollow-fibre system (14, 15). Their Methods state 100 µL plated with counts per mL, so </w:t>
      </w:r>
      <w:r>
        <w:rPr>
          <w:i/>
        </w:rPr>
        <w:t>L</w:t>
      </w:r>
      <w:r>
        <w:t xml:space="preserve"> = 10 CFU/mL is derived rather than inferred, and the file corroborates the derivation: a 100 µL plate reporting per mL can return only multiples of ten, and all 229 genuine counts in the deposit are multiples of ten, the smallest exactly ten. Sixty-nine further entries read as one, which no 100 µL plate can produce; they are the deposit's placeholder for below the floor.</w:t>
      </w:r>
    </w:p>
    <w:p>
      <w:r>
        <w:t>Across the 20 cultures with a measured day-zero density, headroom runs from 4.85 to 5.45 log10. Endpoints at 1, 2, 3 and 4 logs are reachable for every culture. A 5-log endpoint is unreachable for 5 of 20. A 6-log endpoint is unreachable for all 20 (Table S9). On data it was not built from, the framework therefore locates the depth at which a sterilisation claim in this experiment stops being demonstrable.</w:t>
      </w:r>
    </w:p>
    <w:p>
      <w:r>
        <w:t xml:space="preserve">Two features of that deposit are worth recording because they are the failure modes this framework is meant to catch. Its Methods give a nominal inoculum of 10⁵ CFU/mL while the file measures a median of 1.215 × 10⁶, so taking </w:t>
      </w:r>
      <w:r>
        <w:rPr>
          <w:i/>
        </w:rPr>
        <w:t>N₀</w:t>
      </w:r>
      <w:r>
        <w:t xml:space="preserve"> from the Methods rather than from the data would have placed a full order of magnitude into every boundary. And its treated arm reads at or below the floor already at day zero while the paired control reads about 10⁶. Either that sample was drawn after exposure rather than before it, or the day-zero value is a placeholder or a transcription error; the file cannot distinguish the two, and we flag the reading rather than treat it as a measured time zero.</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 the starting densities that decide whether an endpoint is reachable and a label means anything — with its predictions written down before a plate was counted. </w:t>
      </w:r>
      <w:r>
        <w:rPr>
          <w:i/>
        </w:rPr>
        <w:t>Escherichia coli</w:t>
      </w:r>
      <w:r>
        <w:t xml:space="preserve"> ATCC 25922, of the American Type Culture Collection — the reference strain the standard names for quality control —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and that is a design choice rather than a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is what makes the floor reachable in every arm and the prediction falsifiable in a week rather than a year. ATCC 25922 is not a substitute chosen for ease either: it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quoted as arm means. Those three figures are means, and every figure after them is per flask. The distinction is not cosmetic: </w:t>
      </w:r>
      <w:r>
        <w:rPr>
          <w:i/>
        </w:rPr>
        <w:t>N</w:t>
      </w:r>
      <w:r>
        <w:t xml:space="preserve">₀ is not a setting the protocol supplies but a measurement made once per culture, so headroom belongs to a flask rather than to an arm. At the 100 µL plating the low arm's three flasks have 4.19, 4.11 and 4.00 logs of headroom, the last of them exactly at the four-log endpoint. Everything below is therefore reported per flask. </w:t>
      </w:r>
      <w:r>
        <w:rPr>
          <w:b/>
        </w:rPr>
        <w:t>At the standard inoculum plated at 10 µL, the deepest reduction the three flasks could report ran from 3.71 to 3.93 logs — each flask's own ceiling, not the drug's</w:t>
      </w:r>
      <w:r>
        <w:t xml:space="preserve"> — while those same three cultures plated at 100 µL ran from 4.88 to 5.05 (Fig. S5B, Table S10). Every flask is paired with itself across the two platings, so the comparison is within a culture rather than between cultures.</w:t>
      </w:r>
    </w:p>
    <w:p>
      <w:r>
        <w:t xml:space="preserve">That much is arithmetic, as Box 1 says.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 two different floors over one starting density — so they can fall either side of a class threshold and give one culture two labels. </w:t>
      </w:r>
      <w:r>
        <w:rPr>
          <w:b/>
        </w:rPr>
        <w:t>The quantity that could have come out zero is how often a real experiment lands in the window where those two fractions straddle the cut</w:t>
      </w:r>
      <w:r>
        <w:t>, and it depends on where the cut is (Fig. S5C, Table S11). Put the cut at one per cent and the window is nearly shut. Put it at one in a thousand, which is where the clinical classification analysed above cuts its lowest class, and six of 54 sample-times receive two different labels from one culture — one in nine. That cut is imported from the tuberculosis classification; nothing in the E. coli experiment derives it, and it serves here as a ruler for the window's width, not as a claim about E. coli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 and once it is a number, it is harder to see.</w:t>
      </w:r>
    </w:p>
    <w:p>
      <w:r>
        <w:t xml:space="preserve">The standard is not silent on that choice, and this is the paper's sharpest finding rather than an awkwardness for it. M26-A's own section 1.3.2.5, headed </w:t>
      </w:r>
      <w:r>
        <w:rPr>
          <w:i/>
        </w:rPr>
        <w:t>Volume Transferred</w:t>
      </w:r>
      <w:r>
        <w:t>, ties the volume to the endpoint with a counting rule: after the defined 99.9 per cent killing, at least ten colonies must remain (16) —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 that one regimen sterilises faster than another, that a patient's isolates are becoming more tolerant over therapy — are in part conclusions about how the assay was set up. The correction applied here does not remove the biology; it aims it at the right target. The phenotype that survives the correction is growth state, which is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which is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It would not manufacture it. But the experiment cannot exclude carryover, and a repetition should include the control that would.</w:t>
      </w:r>
    </w:p>
    <w:p>
      <w:r>
        <w:t>Several limitations here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S8): twenty survive unchanged, six survive with much wider uncertainty, five do not survive and </w:t>
      </w:r>
      <w:r>
        <w:rPr>
          <w:b/>
        </w:rPr>
        <w:t>have already been removed from the text above</w:t>
      </w:r>
      <w:r>
        <w:t>, and one is withdrawn because the "no difference"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 the endpoint that was never reachable, and the last count that lands on the floor. For this assay that is 230 000 per mL. Seeding higher also changes the experiment, because a denser culture is a different physiological state, and physiological state is what the tolerance label tracks — so where the deep endpoint is wanted, lower the assay floor;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 resistant against susceptible isolates —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S12),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r>
        <w:rPr>
          <w:i/>
        </w:rPr>
        <w:t>The condensed account. The full account, with every estimator and every sensitivity analysis, is Supplementary Methods in the supplemental file.</w:t>
      </w:r>
    </w:p>
    <w:p>
      <w:pPr>
        <w:spacing w:before="240"/>
      </w:pPr>
      <w:r>
        <w:rPr>
          <w:b/>
          <w:sz w:val="22"/>
        </w:rPr>
        <w:t>Ethics</w:t>
      </w:r>
    </w:p>
    <w:p>
      <w:r>
        <w:t xml:space="preserve">This study reanalysed publicly available, de-identified datasets deposited by other groups, and generated one time-kill experiment in a reference strain of </w:t>
      </w:r>
      <w:r>
        <w:rPr>
          <w:i/>
        </w:rPr>
        <w:t>Escherichia coli</w:t>
      </w:r>
      <w:r>
        <w:t>. No human or animal subjects were involved, no patient samples were collected, and no individual is identifiable from any material presented here.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Use of generative artificial intelligence</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reanalysed here was already public under an open licence and none was generated for this study. Each is identified in Table 3 and cited alongside the article that first described it: Vijay and colleagues (20, 21), van Wijk and colleagues (12, 13), Windels and colleagues (22, 23), Kaur and colleagues (24, 25), and the hollow-fibre Source Data of Dubey and colleagues (14, 15), held out of every fitting step. The readings from the prospective experiment are deposited with the analysis code.</w:t>
      </w:r>
    </w:p>
    <w:p>
      <w:r>
        <w:t>That code, both audit scripts, the headroom tool and the machine-readable receipts recording the software versions each stage ran under are in a public repository (26), with the documentation and test data needed to run them. It is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ada65b7+ of it — the state of the repository the text describes, rather than the commit that records the build. A trailing plus sign, if present, marks a build made with uncommitted changes in the tree.</w:t>
      </w:r>
    </w:p>
    <w:p>
      <w:r>
        <w:t>Every number quoted in this manuscript regenerates from the deposits by that code, and two audit stages check the text against those results. Neither pins every cell of every table, as the Reproducibility subsection states.</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14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Cochran WG. 1950. Estimation of bacterial densities by means of the "most probable number". Biometrics 6:105. https://doi.org/10.2307/3001491.</w:t>
      </w:r>
    </w:p>
    <w:p>
      <w:r>
        <w:t>6. Blodgett R. 2023. BAM appendix 2: most probable number from serial dilutions. Bacteriological analytical manual. US Food and Drug Administration, Silver Spring, MD. https://www.fda.gov/food/laboratory-methods-food/bam-appendix-2-most-probable-number-serial-dilutions.</w:t>
      </w:r>
    </w:p>
    <w:p>
      <w:r>
        <w:t>7.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8. Mukamolova GV, Turapov O, Malkin J, Woltmann G, Barer MR. 2010. Resuscitation-promoting factors reveal an occult population of tubercle bacilli in sputum. Am J Respir Crit Care Med 181:174-180. https://doi.org/10.1164/rccm.200905-0661OC.</w:t>
      </w:r>
    </w:p>
    <w:p>
      <w:r>
        <w:t>9.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10.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11. Mann HB, Whitney DR. 1947. On a test of whether one of two random variables is stochastically larger than the other. Ann Math Stat 18:50-60. https://doi.org/10.1214/aoms/1177730491.</w:t>
      </w:r>
    </w:p>
    <w:p>
      <w:r>
        <w:t xml:space="preserve">12.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13.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14.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16. National Committee for Clinical Laboratory Standards. 1999. Methods for determining bactericidal activity of antimicrobial agents; approved guideline. NCCLS document M26-A. National Committee for Clinical Laboratory Standards, Wayne, PA. ISBN 1-56238-384-1.</w:t>
      </w:r>
    </w:p>
    <w:p>
      <w:r>
        <w:t>17. Vilchèze C, Jacobs WR Jr. 2007. The mechanism of isoniazid killing: clarity through the scope of genetics. Annu Rev Microbiol 61:35-50. https://doi.org/10.1146/annurev.micro.61.111606.122346.</w:t>
      </w:r>
    </w:p>
    <w:p>
      <w:r>
        <w:t>18. Campbell EA, Korzheva N, Mustaev A, Murakami K, Nair S, Goldfarb A, Darst SA. 2001. Structural mechanism for rifampicin inhibition of bacterial RNA polymerase. Cell 104:901-912. https://doi.org/10.1016/S0092-8674(01)00286-0.</w:t>
      </w:r>
    </w:p>
    <w:p>
      <w:r>
        <w:t xml:space="preserve">19.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 xml:space="preserve">20.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21.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22.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23.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24. Kaur P. 2024. Apramycin kills replicating and non-replicating </w:t>
      </w:r>
      <w:r>
        <w:rPr>
          <w:i/>
        </w:rPr>
        <w:t>Mycobacterium tuberculosis</w:t>
      </w:r>
      <w:r>
        <w:t xml:space="preserve"> — raw data. figshare. https://doi.org/10.6084/m9.figshare.26462791.v1.</w:t>
      </w:r>
    </w:p>
    <w:p>
      <w:r>
        <w:t xml:space="preserve">25. Kaur P, Ramya VK, Naveenkumar CN, Bharathkumar K, Singh M, Hobbie SN, Shandil RK, Narayanan S. 2024. Apramycin kills replicating and non-replicating </w:t>
      </w:r>
      <w:r>
        <w:rPr>
          <w:i/>
        </w:rPr>
        <w:t>Mycobacterium tuberculosis</w:t>
      </w:r>
      <w:r>
        <w:t>. Front Trop Dis 5:1413211. https://doi.org/10.3389/fitd.2024.1413211.</w:t>
      </w:r>
    </w:p>
    <w:p>
      <w:r>
        <w:t>26. Piranfar V. 2026. Analysis code, audit scripts and headroom tool for "The detection floor bounds tolerance endpoints in Mycobacterium tuberculosis".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