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The detection floor bounds tolerance endpoints in Mycobacterium tuberculosis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 a count read off a dilution series rather than off colonies on a plate —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 recording them only as "below the floor", with the true value unknown —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 10 to 400 CFU/mL across the deposits reanalysed here —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and none was generated for this study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 the six isolates sitting on </w:t>
      </w:r>
      <w:r>
        <w:rPr>
          <w:i/>
        </w:rPr>
        <w:t>N</w:t>
      </w:r>
      <w:r>
        <w:t>_id itself, where the strict inequality leaves the class undecidable —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 same flask, same afternoon —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That is also where the counts feeding regimen selection are taken. A model published as a preprint while this paper was in preparation predicts relapse in the murine model across nine datasets, 58 regimens and 2 239 relapse observations, reaching an area under the receiver operating characteristic curve of 0.90 on its final external validation (17). Its eight predictors include the fall in lung CFU from baseline at days 14 and 28, the fall in the ribosomal RNA (ribonucleic acid) synthesis ratio at day 14, the presence of an oxazolidinone, and four experimental covariates. Removing either biomarker costs performance. What the authors show is that the loss from dropping the RS ratio can be recovered by adding model-estimated coefficients for the sterilising contribution of each drug — a substitution they license only for compounds already characterised, since those coefficients need prior long-term outcome data, and expressly not for the novel ones the model exists to rank.</w:t>
      </w:r>
    </w:p>
    <w:p>
      <w:r>
        <w:t xml:space="preserve">Their explanation for that gap is physiological, and it is why they built the RS ratio in the first place: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 and we do not read that as a lapse peculiar to it, since the field's own consensus guideline raises neither. That is the point.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 read as below the floor rather than as a number —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a fair one, and it is answered by separating two endpoints that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 twelve at the 100 µL plating against fifty-six across every laboratory and volume —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We do not know why they seed lower. The natural explanation — that resistance carries a fitness cost — is not supported here, since these isolates do not grow measurably more slowly and most carry the near-neutral </w:t>
      </w:r>
      <w:r>
        <w:rPr>
          <w:i/>
        </w:rPr>
        <w:t>katG</w:t>
      </w:r>
      <w:r>
        <w:t xml:space="preserve"> S315X allele (18, 19).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5).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 3.0 to 72.4 per cent — so what the deposit establishes is the mechanism and not the rate.</w:t>
      </w:r>
    </w:p>
    <w:p>
      <w:r>
        <w:t>The variance decomposition (Text S2) sets the size of that effect and no more: the inoculum is a large minority of the variance in crossing time, enough to flip the ranking in more than a third of comparisons but not enough to license treating the endpoint as an inoculum readout.</w:t>
      </w:r>
    </w:p>
    <w:p>
      <w:r>
        <w:t>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That is a defensible way to report an assay. It also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w:t>
      </w:r>
      <w:r>
        <w:rPr>
          <w:i/>
        </w:rPr>
        <w:t>between</w:t>
      </w:r>
      <w:r>
        <w:t xml:space="preserve"> laboratories is six, not the 67 to 85 flasks the tables list. Six is too few for the standard correction — a cluster-robust standard error — and the correction does not fail loudly when you fit it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 p. Three laboratories recorded crossings at the 100 µL plating and three did not; with the six split three and three, the smallest two-sided p the arithmetic can return is 0.10, whatever the biology. Some quantities do let flasks be pooled across laboratories — the variance shares, and the inversion rate under a flask bootstrap. Those keep an exact permutation test, and they are the strongest between-laboratory evidence the deposit holds.</w:t>
      </w:r>
    </w:p>
    <w:p>
      <w:r>
        <w:t>The laboratories did not all count their starting density on the same day. Only institutes C and D deposit a day-zero reading for the treated flasks. A, B, E and F deposit day one, and by day one the ten-times-MIC arms have already lost between 0.7 and 2.4 log10. For four of the six laboratories, then, the number we are calling the exposure has some killing baked into it. We re-ran the whole comparison on a day-one exposure for every laboratory. The ordering, the area under the curve and the laboratory-level p all stayed the same, so the conclusion is robust to it. The mismatch is real all the same, and we report it rather than smooth it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not separating two covariates. It is closer to swapping a label for a number carrying much the same information.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 a full-text search returns no occurrence of "limit of detection" or of either value. So the number is not missing from the science. It is missing from the paper, and a reader who never opens the supplementary spreadsheet cannot know an endpoint was bounded. What we are asking for is one sentence in a methods section, and somebody has already done all the work that sits behind it.</w:t>
      </w:r>
    </w:p>
    <w:p>
      <w:r>
        <w:t xml:space="preserve">The mirror image is a deposit whose modelling table carries a column named `CFU_LOD`, and that column is empty in all 272 rows (21). Somebody designed the field, declared it numeric, and never filled it in; nor does a detection limit appear in any of the eight analysis scripts deposited beside it. Put the two cases together and the diagnosis is not carelessness. The assay floor </w:t>
      </w:r>
      <w:r>
        <w:rPr>
          <w:i/>
        </w:rPr>
        <w:t>L</w:t>
      </w:r>
      <w:r>
        <w:t xml:space="preserve"> is measured. Sometimes it is written down to a standard higher than anyone asks for. It then falls out of the record between the bench and the reader —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 a fit built for ranked categories —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(8). If the protocol fixes the starting density, then the variable the preceding sections rest on does not vary.</w:t>
      </w:r>
    </w:p>
    <w:p>
      <w:r>
        <w:t xml:space="preserve">Two things about the standard let counts settle this. First, a McFarland reading is a turbidity — how cloudy the tube looks, matched optically (22) — and cloudiness counts live cells, dead cells, debris and a clump of cells all as one particle (22). Converting it to CFU/mL assumes a cell size, a shape and a dispersal that </w:t>
      </w:r>
      <w:r>
        <w:rPr>
          <w:i/>
        </w:rPr>
        <w:t>M. tuberculosis</w:t>
      </w:r>
      <w:r>
        <w:t xml:space="preserve"> does not oblige, and tuberculosis protocols work from a range of dilutions and target inocula (23).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 untreated, day zero, 100 µL. That is not the basis of Table S7, and the two are not expected to match.</w:t>
      </w:r>
    </w:p>
    <w:p>
      <w:r>
        <w:t>Read as headroom at a fixed plating volume, the spread is Δ</w:t>
      </w:r>
      <w:r>
        <w:rPr>
          <w:i/>
        </w:rPr>
        <w:t>h</w:t>
      </w:r>
      <w:r>
        <w:t xml:space="preserve"> = 2.33 log10 — a 216-fold difference in how far down the assay can look, under one written protocol (Table S13).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 but the untreated culture itself grows to 6.72 over the same twenty-four hours. A day-one reading is not a day-zero reading, in either direction. A second deposit (15, 16) gives the same result against its own stated figure rather than against a standard: its Methods specify 10⁵ CFU/mL and its file measures 7 × 10⁵ to 2.8 × 10⁶, a median of 1.215 × 10⁶ and so 12.15-fold above nominal — computed from the unrounded median, which Table S13 displays rounded to 6.08 log10.</w:t>
      </w:r>
    </w:p>
    <w:p>
      <w:r>
        <w:t>Distance from the McFarland reference is descriptive and is reported as such (Table S14). Sitting far below it is the intended state, since the inoculum is prepared by diluting from it, and the figure is not a measure of protocol compliance. What sets the deepest log-kill an experiment can show is the measured starting density and the real assay floor —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and compare them. Across 191 such pairs — with 45 further pairs that the censoring could not settle, which are excluded rather than imputed — </w:t>
      </w:r>
      <w:r>
        <w:rPr>
          <w:b/>
        </w:rPr>
        <w:t>66 pairs — 34.6 per cent — are inversions</w:t>
      </w:r>
      <w:r>
        <w:t xml:space="preserve">: the flask in which the population fell faster crossed below the assay floor later (Table S15). Restrict to pairs whose rates differ by more than 0.10 log10 per day, so that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65.4 per cent of pairs are not inversions, and the criterion gets 97.6 per cent of those right against 59.1 per cent of the inversions themselves. So the decomposition identifies the mechanism — a pair inverts when the distance ratio exceeds the rate ratio — without predicting which pairs invert much better than three times in five. The residual is what a single averaged slope through a two-phase kill curve cannot capture, which the Methods state as a known limitation of </w:t>
      </w:r>
      <w:r>
        <w:rPr>
          <w:i/>
        </w:rPr>
        <w:t>b</w:t>
      </w:r>
      <w:r>
        <w:t>.</w:t>
      </w:r>
    </w:p>
    <w:p>
      <w:r>
        <w:t>The effect holds when the faster flask is required to be unambiguously faster. Raise the minimum separation between the two fitted rates and pairs whose rates barely differ drop out. At 0.02 log10 per day the inversion rate is 33.7 per cent. At 0.05 it is 29.4 per cent. At 0.10 — a difference no reader would dispute — it is 23.0 per cent of 100 pairs.</w:t>
      </w:r>
    </w:p>
    <w:p>
      <w:r>
        <w:t>Those point estimates are firm. Their precision is not, and the difference matters. The pairs are not independent observations: 191 pairs are built from 42 flasks in six laboratories, and an interval that treats them as independent coin flips reports a precision the design does not have. Resampling whole flasks within laboratory puts the 34.6 per cent between 22.3 and 48.7 per cent. Resampling whole laboratories, which is the level at which the comparison is actually made, puts it between 3.0 and 71.3 per cent. Under the strictest rate separation the corresponding intervals are 9.4 to 42.9 per cent and 0 to 79.4 per cent. What the deposit supports is therefore that inversions are common and are explained by the decomposition. It does not support any particular rate.</w:t>
      </w:r>
    </w:p>
    <w:p>
      <w:r>
        <w:t xml:space="preserve">The variance decomposition sets the size of the effect and it also bounds the claim. Of the variation available to move a crossing time, the distance term carries 35.2 per cent at ten times moxifloxacin, 32.3 per cent at ten times isoniazid and 17.7 per cent at one times isoniazid. The rate term carries the rest in all three. </w:t>
      </w:r>
      <w:r>
        <w:rPr>
          <w:b/>
        </w:rPr>
        <w:t>That ordering is not established, and we do not claim it.</w:t>
      </w:r>
      <w:r>
        <w:t xml:space="preserve"> The flasks it is computed over are three to a laboratory and share a starting culture, so this is a between-laboratory statistic with six clusters wearing flasks as a disguise. Deleting one laboratory pushes the distance share above a half in two of the three arms — to 70.4 per cent at ten times isoniazid and 62.3 per cent at ten times moxifloxacin — and a bootstrap over whole laboratories straddles a half in all three (Table S15). What survives is the weaker and sufficient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in the arm returns a positive fitted rate, so there is no spread in the rate to divide (Table S15). The inoculum contributes a sizeable minority of the variance in crossing time — enough to flip which of two flasks fell faster in more than a third of the laboratory comparisons here, which is the practical stake for anyone choosing between compounds on this evidence.</w:t>
      </w:r>
    </w:p>
    <w:p>
      <w:pPr>
        <w:spacing w:before="240"/>
      </w:pPr>
      <w:r>
        <w:rPr>
          <w:b/>
          <w:sz w:val="22"/>
        </w:rPr>
        <w:t>Text S3. Read the plate late enough and the concentration response reverses</w:t>
      </w:r>
    </w:p>
    <w:p>
      <w:r>
        <w:t>The deposit tests apramycin at 1, 4, 8, 32 and 128 µg/mL (12, 13). The 1 µg/mL flasks grow rather than die, so that arm is left out of the dose comparison. What remains is 4 to 128 µg/mL: 32-fold, five doublings. Across that range the survivor counts spread out 6.9-fold at day 3, 48.2-fold at day 7 and 5.2-fold at day 14 (Fig. S3, Table S16).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 and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 the value 10 µL plating would give, an assumption and not a derivation —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Text S4. How much drug it takes and how long it takes are two different things</w:t>
      </w:r>
    </w:p>
    <w:p>
      <w:r>
        <w:t xml:space="preserve">The framework that defines these two measures takes it as given that they are separate (Brauner et al. 2016) (24). The deposits do not prove it. They bound how far from separate the two could be, which is weaker and more honest. The 217-isolate file supports 24 comparisons of the two: how much drug it takes to stop growth against how long it takes to kill. All 24 are corrected together. Testing that many things at once throws up hits by chance, so the Benjamini–Hochberg thresholds in Table S17 — the standard correction for a family of tests — are set against 24, not against the size of any one subgroup. Four are significant before correction, where 1.2 are expected by chance, and none survives it (Fig. S2, Table S17). All four point the wrong way: a higher inhibitory concentration goes with a </w:t>
      </w:r>
      <w:r>
        <w:rPr>
          <w:i/>
        </w:rPr>
        <w:t>shorter</w:t>
      </w:r>
      <w:r>
        <w:t xml:space="preserve"> killing time, which is not the direction a shared mechanism predicts. And they cluster at the deepest endpoint — the one Section 1 shows is compromised. Across all 24 tests the weakest correlation this design could have detected runs 0.14 to 0.25 depending on the subgroup; the six strongest, which Table S17 lists, span 0.14 to 0.18.</w:t>
      </w:r>
    </w:p>
    <w:p>
      <w:r>
        <w:t>This null is narrower than it looks, and we report it as such. Take only the baseline isolates, where every isolate comes from a different patient, and the deepest 15-day endpoint gives a correlation of ρ = −0.21 with p = 0.0086. Against the family of 24, the value it has to beat is 0.0021, and it is nowhere near. Had those six baseline tests been declared a family of their own in advance, the threshold would have been 0.0083, and it would still have missed — by three and a half per cent. The family of 24 is the one this paper corrects against, so the first reading is the honest one. The second is on the record only because it points the same negative way. The axes are not shown to be independent here. They are shown not to be positively coupled, and that is what the deposits can support.</w:t>
      </w:r>
    </w:p>
    <w:p>
      <w:r>
        <w:t>Ask the same question of 126 evolved clones sharing one ancestor (14, 25) and the answer is ρ = +0.043 (p = 0.63), against the 0.175 this sample size could have detected. Independence holds inside every nutrient group separately. Splitting by nutrient is not optional there. The concentration written on the flask is not the same exposure in every group: at 25 µg/mL, that one figure is anywhere from 0.55 to 9.47 times the inhibitory concentration that population had evolved to, and it falls on both sides of it (Table S18).</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 a probability spread across which rung is the real floor — places 95 per cent support on 9.2 to 23 per mL, a span of 0.40 log10. That is narrow enough that the class labels of Section 3 are computed rather than refused (Table S19).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 the same value as at day 5, a coincidence of this deposit rather than one number written into two places, since the two columns share no reading. The day-2 thresholds recover the same way: cuts at 10⁻² and 10⁻¹ reproduce all 203 usable day-2 classes, one decade shallower than at day 5, and the identifiability boundary does not move (</w:t>
      </w:r>
      <w:r>
        <w:rPr>
          <w:i/>
        </w:rPr>
        <w:t>N</w:t>
      </w:r>
      <w:r>
        <w:t>_id = 230/10⁻² = 23 000 per mL, matching day 5) even though the reachability boundary does, by a full decade — 121 of 203 isolates lack the room for a four-log reduction against the day-2 floor, against 31 against the day-5 floor. At 60 days no pair of decade cuts reproduces the day-2 classes.</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Sorting every call in the panel this way separates the labels the assay measured from the labels the censoring rule fixed (Table 2).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(26));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How finely the agreement resolves also has to be stated. Among the eighteen the starting density takes only five values — 23 000 for six isolates, then 230 000 for eight, and 610 000, 2.3 × 10⁶ and 6.1 × 10⁶ for one, one and two —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S20), and a posterior over class gives the same answer in probabilistic form — the twelve isolates recorded as low keep their label with posterior probability at least 0.999, and the six recorded as medium are refused outright (Table S12).</w:t>
      </w:r>
    </w:p>
    <w:p>
      <w:pPr>
        <w:spacing w:before="240"/>
      </w:pPr>
      <w:r>
        <w:rPr>
          <w:b/>
          <w:sz w:val="22"/>
        </w:rPr>
        <w:t>Extended results for article section 5: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 low, then medium, then high — and we model it as such. Scoring the levels 0, 1 and 2 and fitting a straight line would assert that the step from low to medium is the same size as the step from medium to high, and nothing establishes that. Associations are therefore reported as odds ratios from proportional-odds ordinal logistic regression, a fit for ranked outcomes that does not assume the steps between ranks are equal. That fit makes an assumption of its own — that a single odds ratio serves both cut points — and we tested it rather than assuming it (Methods; Table S5).</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S6).</w:t>
      </w:r>
    </w:p>
    <w:p>
      <w:r>
        <w:t xml:space="preserve">Two things bound that estimate, and neither is a formality. It rests on sequential ignorability — that nothing unmeasured drives both the starting density and the class —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 it is the quantity a reader wants, because it says how much of the association is carried by the label's own denominator — but it is a reason not to read it as a mechanism. Only a design that fixes the inoculum separates the two.</w:t>
      </w:r>
    </w:p>
    <w:p>
      <w:r>
        <w:t xml:space="preserve">That last objection can be tested rather than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 What it remains is an association in observational data, and the caution above about mechanism is unaffected.</w:t>
      </w:r>
    </w:p>
    <w:p>
      <w:r>
        <w:t>These 217 isolates are not 217 independent observations. Forty-three are follow-up isolates taken during treatment from patients who also gave a baseline isolate, so up to 86 rows sit in clusters of two. But the deposit carries no patient identifier: Archive and Sample-ID are unique to each row, and none of the 48 columns repeats the way a patient key would have to. The pairing cannot be recovered, so no standard error can be clustered on the true grouping, and we do not pretend otherwise. What is available is the exact substitute, a baseline-only stratum in which every isolate is from a different patient by construction (Time_point = 0M, n = 167 at 15 days).</w:t>
      </w:r>
    </w:p>
    <w:p>
      <w:r>
        <w:t>These 217 isolates are not 217 independent patients, and the deposit carries no patient key with which to say so in a standard error. What it does carry is the exact substitute: a baseline-only stratum in which every isolate comes from a different patient by construction (Time_point = 0M, n = 167 at 15 days).</w:t>
      </w:r>
    </w:p>
    <w:p>
      <w:r>
        <w:t xml:space="preserve">Why they seed lower is not established here, and the obvious explanation fails: resistant isolates do not grow significantly more slowly in this deposit (median time to OD 0.4 of 19 against 17, p = 0.24), and 85 of them carry </w:t>
      </w:r>
      <w:r>
        <w:rPr>
          <w:i/>
        </w:rPr>
        <w:t>katG</w:t>
      </w:r>
      <w:r>
        <w:t xml:space="preserve"> S315X, the mutation that predominates clinically precisely because it is close to fitness-neutral — it costs the bacterium almost nothing to carry (18, 19). What the deposit can rule out is less than we first reported, and the correction runs in our favour. Seven of the nine pretreatment covariates the file carries cannot adjust this association, and they fail in two different ways. Five of them are recorded almost only for resistant isolates, so their missingness </w:t>
      </w:r>
      <w:r>
        <w:rPr>
          <w:i/>
        </w:rPr>
        <w:t>is</w:t>
      </w:r>
      <w:r>
        <w:t xml:space="preserve"> the exposure: the two susceptibility calls are present for 82 of 84 resistant isolates and for none of the 119 susceptible ones, the two Mykrobe calls for 76 and none, and the mutation identity for 79 and one. Adjusting for such a column adjusts for resistance itself, which is why the two susceptibility rows agree to three significant figures — they are missing on exactly the same rows and hand the fit the same design matrix. That also disposes of the largest attenuation we previously quoted, 22 per cent for the mutation identity, which was an artefact of the same circularity. The two Mykrobe columns hold a single value wherever they are recorded in this stratum, so no adjusted coefficient exists for them at all and Table S21 prints none.</w:t>
      </w:r>
    </w:p>
    <w:p>
      <w:r>
        <w:t>The other two are the isoniazid and rifampicin MICs, and their missingness runs the other way: they are recorded for all 119 susceptible isolates and for 67 of 84 resistant ones, so what is absent sits inside the exposed group rather than across the contrast. That does not make them confounders. The isoniazid MIC separates the two groups completely in this deposit — no resistant isolate overlaps any susceptible one — so it is the exposure measured on a graded scale rather than something to adjust the exposure for. The fit says so: the standard error on the resistance coefficient inflates from 0.103 to 0.181, and the complete case drops 17 resistant isolates and no susceptible one, leaving 186 rows against 203. It is also the second-largest movement in Table S21, and it runs the wrong way for a confounding explanation: with the isoniazid MIC in the model the seeding gap grows from −0.85 to −0.96, an amplification of 13 per cent rather than an attenuation. The rifampicin MIC, which does not separate the groups, moves it by less than half a per cent.</w:t>
      </w:r>
    </w:p>
    <w:p>
      <w:r>
        <w:t>The remaining two are missing at rates unrelated to susceptibility and can be used: the growth proxy and months on treatment. Adjusting for either leaves the coefficient at −0.81 or −0.82 against an unadjusted −0.85, an attenuation of at most five per cent (Table S21). The seeding gap is therefore more robust than the earlier sweep suggested, not less. The file records no referring site and no processing batch, so those cannot be tested at all. The association between resistance and a low starting inoculum is real, large and unexplained, and we record it as such.</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 210 isolates appear in both — so every comparison between them is within-isolate and is made that way. Pairing sharpens the result rather than softening it: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Extended results for article section 6: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S7 need their basis stated before they are used. Each is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 by which point the ten-times-MIC arms have already lost between 0.7 and 2.4 log10. A day-zero comparison across all six is therefore not available, and the check that is available runs the other way: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It is a </w:t>
      </w:r>
      <w:r>
        <w:rPr>
          <w:b/>
        </w:rPr>
        <w:t>first observed crossing below the assay floor</w:t>
      </w:r>
      <w:r>
        <w:t>, and the distinction is not pedantic: most series that cross later read above the floor again, including all five untreated series that cross. The plating volume has to be stated too, because the endpoint depends on it. The time-to-event analysis runs at the 100 µL quadruplicate plating, the most sensitive of the four, and there 29 of 72 treated flasks ever fall below the floor: institutes B and C record crossings in every arm, institute A in three of its four, and institutes D, E and F in none (Fig. S1A). For half the laboratories the first-crossing time is therefore right-censored throughout — the flask never crossed, so all that is known is that the crossing, if it comes, comes after the last visit.</w:t>
      </w:r>
    </w:p>
    <w:p>
      <w:r>
        <w:t xml:space="preserve">That split is a property of the plating, not of the laboratories. Counting a crossing on </w:t>
      </w:r>
      <w:r>
        <w:rPr>
          <w:b/>
        </w:rPr>
        <w:t>any</w:t>
      </w:r>
      <w:r>
        <w:t xml:space="preserve"> of the four platings gives 48 of the same 72 treated flasks, and every laboratory records at least one — D six of its twelve, E one, F ten. The two counts are the same fact seen at two sensitivities, and they are exactly what this paper is about: a duration endpoint is defined against a floor, and the floor is a choice. The analysis keeps the single most sensitive plating so that the endpoint means the same thing everywhere, and reports here what the other choice would have shown.</w:t>
      </w:r>
    </w:p>
    <w:p>
      <w:r>
        <w:t>Starting density separates the flasks that ever crossed from those that never did with an area under the curve of 0.974. That figure is a description, and it is quoted without a p-value on purpose. The comparison looks like 67 flasks, but it is three laboratories against three, and the between-laboratory evidence in this deposit is six clusters throughout; the Limitations set out what that permits and what it forbids. In short: the exact laboratory-level test returns 0.10, which is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and the panel that displays them displays that movement rather than testing it. The reason is mechanical. The tested covariate is constant within cluster, and with six laboratories and six parameters the cluster-robust covariance is singular by construction; fitting it anyway does not fail loudly but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not conservative, it is wrong in an unpredictable direction. For the laboratory contrasts the laboratory bootstrap is the wrong instrument, since it keeps each laboratory's flasks together and the contrast barely moves, so the flask-clustered interval is quoted there instead. The crossings behind each laboratory's coefficient are also worth stating plainly: 43 of 48 series in institute C against 1 of 48 in institute E.</w:t>
      </w:r>
    </w:p>
    <w:p>
      <w:r>
        <w:t>Killing here is not sustained, and this is stronger than a caveat about individual flasks. Take the 64 treated series carrying at least three quantified readings at the most sensitive plating volume. In 48 of them the final step is not a decline, and 44 end more than one log10 above their own lowest reading, with a median rebound of 2.17 log10 and a largest of 5.54. Seventeen of the 32 flasks that fell below the floor at the most sensitive plating — the 29 treated flasks above and three untreated ones — were detectable again at a later visit, 14 of them in treated arms.</w:t>
      </w:r>
    </w:p>
    <w:p>
      <w:r>
        <w:t>Across all four platings, 84 of the 140 series that cross return above the floor, 60 per cent, and the return is quick: a median of four days, with 45 per cent back within three. Those 360 series come from 90 flasks, four platings each, so they are not 360 independent observations; counted by flask, 53 of the 90 contain a crossing series — the 48 treated flasks above and five untreated ones — and 42 of those contain a returning one. A crossing below the assay floor in this deposit is therefore usually a transient rather than an endpoint, which is a further reason it summarises less than the trajectory that produced it.</w:t>
      </w:r>
    </w:p>
    <w:p>
      <w:r>
        <w:t>Killing itself is real and dose-dependent: at one times the inhibitory concentration five of six laboratories record net growth under moxifloxacin, between −0.047 and −0.214 log10 per day, and at ten times all six record net decline.</w:t>
      </w:r>
    </w:p>
    <w:p>
      <w:r>
        <w:t>A crossing below this floor is not the durable event a duration endpoint takes it for, and two consequences follow for anyone who reads a duration off such an experiment. The first is that the state below the floor is not absorbing: a series that drops below it does not stay there. Of 2 232 visit-to-visit transitions, 144 go from above to below and 95 go from below to above, so a series sitting below the floor leaves it at the next visit with probability 0.22. The gradient runs with drug pressure — that probability is 1.00 in untreated series, 0.37 to 0.92 at one times MIC and 0.07 to 0.18 at ten times — which says the event is at least partly a property of the plate rather than of the drug. Of the 360 series, only 56, or 15.6 per cent, show the shape a survival model assumes: one crossing that holds (Table S22). Two hundred and twenty never cross at all, 65 cross and return, and 19 oscillate more than once.</w:t>
      </w:r>
    </w:p>
    <w:p>
      <w:r>
        <w:t>The second is that the crossing time is never observed. It lies between the last visit above the floor and the first visit below it, and the naive treatment pins it to the later end, which biases every duration late by construction rather than merely imprecisely. Fitted as interval-censored data — the crossing recorded as lying somewhere inside a window rather than at a point (29) —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behaves differently, and the difference is instructive. Fitted on the half-open interval the data actually give — the crossing happened after the last visit that read above the floor, and at or before the first that read below — the Turnbull curve agrees with the naive Kaplan–Meier at every visit, to floating-point precision. That is not a coincidence: the crossing intervals are the visit gaps themselves, so between visits there is nothing left for a non-parametric estimator to identify, and the naive pinning costs nothing at the visits. What the pinning costs is everything between them, which is where the parametric fit puts the shortening above. A duration read off the naive curve is therefore too long, and by about a day at the depths that matter.</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w:t>
      </w:r>
    </w:p>
    <w:p>
      <w:pPr>
        <w:spacing w:before="240"/>
      </w:pPr>
      <w:r>
        <w:rPr>
          <w:b/>
          <w:sz w:val="22"/>
        </w:rPr>
        <w:t>Extended results for article section 7: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That was true of the search as described. It is no longer true of the corpus the Methods describe: of the 45 deposits whose series could be read in full, 18 permit reachability and identifiability to be computed once the floor is established on the same tiers this paper uses for its own — 17 published deposits and this paper's own experiment: stated by the depositor, derived from a recorded plated volume, or inferred from a pile-up of counts on a plate-plausible value. Across those, the condition the boundaries imply — that no series may present as a measurement a reduction deeper than its own floor allows — holds in 2 210 of 2 210 series. Ten of the eighteen deposits name their organism, between them six distinct species; the other eight do not. Those deposits are described in the data release rather than here. One of them is the held-out deposit of this section, which the corpus fetched independently under a second identifier, so this corpus-wide check and the cold test below are not independent of one another and are not two confirmations. The corpus records its floor as unstated, because the deposit states none; the analysis below derives one from the plated volume the paper's Methods give. Both are true, of different documents.</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is exactly one log, because the floor at the pooled 100 µL plating is one tenth of the floor at the pooled 10 µL plating. The nine paired gains are not exactly one log: they run 0.87 to 1.19 (Table S10). The difference is not the drug and not the flask. It is that each plating measures its own starting density from the same culture, and the two measurements disagree —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 B from 0.093 to 0.264, D from 0.015 to 0.138, E from 0.016 to 0.172 and F from 0.015 to 0.576 —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stood in Figure 2 in an earlier version and are here because each had to disclaim itself in its own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 the value 10 µL plating would give —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S11 — the share of sample-times at which the two platings' recorded fractions fall on opposite sides of a class cut, as the cut moves; the marked line is the cut the clinical classification of Section 2 uses.</w:t>
      </w:r>
    </w:p>
    <w:p>
      <w:pPr>
        <w:spacing w:before="240"/>
      </w:pPr>
      <w:r>
        <w:rPr>
          <w:b/>
          <w:sz w:val="24"/>
        </w:rPr>
        <w:t>Supplementary methods</w:t>
      </w:r>
    </w:p>
    <w:p>
      <w:pPr>
        <w:spacing w:before="240"/>
      </w:pPr>
      <w:r>
        <w:rPr>
          <w:b/>
          <w:sz w:val="22"/>
        </w:rPr>
        <w:t>The corpus screened, and how five deposits came out of it</w:t>
      </w:r>
    </w:p>
    <w:p>
      <w:r>
        <w:t>The five deposits analysed here are the residue of a larger screen, and the attrition is itself a result. A corpus of 78 candidate time-kill datasets was assembled from the published literature between 21 August and 8 September 2026, of which 45 were inspected one record at a time, each inspected entry annotated with what its source actually states about the three quantities this paper's arithmetic needs: a pre-treatment starting density, a time series of counts, and either a plated volume or a stated assay floor. The manifest, with every candidate's identifier, licence and per-field verdict, is deposited with the analysis code, so the screen can be audited rather than taken on trust.</w:t>
      </w:r>
    </w:p>
    <w:p>
      <w:r>
        <w:t xml:space="preserve">Of the 78, two were identified as duplicate records and never fetched, and 31 were never opened — 19 have no ingest reader written and 12 are annotated as not established. That leaves 45 with a coverage row. Four of those 45 are duplicate fetches of records already counted, and one is this paper's own prospective experiment, which is not a screened literature deposit. </w:t>
      </w:r>
      <w:r>
        <w:rPr>
          <w:b/>
        </w:rPr>
        <w:t>Of the 40 distinct literature deposits that remain, 32 state no assay floor by any route</w:t>
      </w:r>
      <w:r>
        <w:t xml:space="preserve"> — no limit of detection, no limit of quantification, and no plated volume from which one could be derived. Eighteen deposits carry enough for reachability and identifiability to be computed at all, 17 of them published and the eighteenth this paper's own experiment; five carry the complete set of fields the analysis needs, and those five are the deposits of Table 3. The whole flow is Table S1 and Figure S4, and every count here reads off it. The remainder fail on a missing floor far more often than on anything else, which is the reporting gap this paper is about.</w:t>
      </w:r>
    </w:p>
    <w:p>
      <w:r>
        <w:rPr>
          <w:b/>
        </w:rPr>
        <w:t>What this screen is, and what it is not.</w:t>
      </w:r>
      <w:r>
        <w:t xml:space="preserve"> It is a systematic inspection of a corpus assembled from the published time-kill literature, with every candidate recorded and every exclusion attributable to a named missing field. It is </w:t>
      </w:r>
      <w:r>
        <w:rPr>
          <w:b/>
        </w:rPr>
        <w:t>not</w:t>
      </w:r>
      <w:r>
        <w:t xml:space="preserve"> a systematic review: no registered search string, database set or date-bounded inclusion protocol governs which datasets entered the corpus, so the 78 are a documented sample of the literature rather than a proven census of it. The proportions above should be read as what an investigator meets in practice, not as an estimate of the whole published record. Nothing in the paper's argument depends on the corpus being exhaustive: the boundaries are derived from definitions, and a single deposit with a floor is enough to apply them.</w:t>
      </w:r>
    </w:p>
    <w:p>
      <w:r>
        <w:t>Nor is it a prevalence estimate. Thirty-three of the 78 were never opened, and deposits were not chosen for inspection at random, so the 32 of 40 above cannot be extrapolated to them. Whether the unopened records state a floor more often or less often than the inspected ones is not knowable from this corpus, and the proportion could move either way.</w:t>
      </w:r>
    </w:p>
    <w:p>
      <w:pPr>
        <w:spacing w:before="240"/>
      </w:pPr>
      <w:r>
        <w:rPr>
          <w:b/>
          <w:sz w:val="22"/>
        </w:rPr>
        <w:t>The five deposits analysed</w:t>
      </w:r>
    </w:p>
    <w:p>
      <w:r>
        <w:t>Five published deposits are analysed (Table 3). Four carry the analysis and the fifth was analysed last, to test it. None was generated for this study and all are openly licensed. That fifth deposit was opened only after every boundary and threshold was fixed. The commit history dates that, though not where a reader would first look: the deposit and the script that tests it entered in a single commit, at 02:41 on 6 September 2026, and git cannot order two files within one commit. What dates the hold-out is where reachability and identifiability were themselves committed - the headroom tool at 00:08 and the symbolic recovery of both laws at 01:34 that morning, sixty-seven minutes before the deposit arrived - and a search of the history for later changes to those expressions returns nothing. The other four deposits were chosen for the fields they carry, and that choice is not separately registered.</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months on treatment, and the authors' own tolerance level for each isolate (Vijay et al. 2024; eLife 93243 supplementary file 2) (10). The killing assay runs for six days, so an isolate not reaching its target within that window is recorded at the ceiling.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laboratories blinded and labelled A to F (van Wijk et al. 2023; figshare 19766083, CC BY 4.0) (3, 11). Moxifloxacin and isoniazid at one and ten times the minimum inhibitory concentration, an untreated control, three flasks per arm, sampled to day 21 or 28. Each sample was plated at four volumes: 100 µL in quadruplicate, 10 µL as four drops, 10 µL as a single drop, and 2.5 µL as a single drop. In the deposited file the colony count is already expressed per millilitre, confirmed by the smallest count recorded at each volume being exactly 1000 divided by that volume, which is one colony per millilitre. The minimum reportable positive count is therefore a property of the plated volume — one colony in that volume — and equals 1.0, 2.0, 2.0 and 2.6 log10 CFU/mL respectively, so four platings give three distinct floors spanning 1.60 log10 within a single flask-visit (4). The identity is exact for 1 055 of the 1 068 readings at 10 µL; the thirteen exceptions all come from one laboratory and do not lie on the lattice its recorded volume implies. The file holds 2 775 readings, of which 17.9 per cent are flagged below the floor and 24 above it; the analysis set, after dropping above-limit flags, unusable values and pre-treatment visits, is 2 580 readings, of which 19.3 per cent are flagged.</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measured on the same clone, labelled by the antibiotic concentration and nutrient level its population evolved under (Windels et al. 2024; Zenodo 10.5281/zenodo.7550302, CC BY 4.0) (14, 25). Six of its 595 surviving fractions are written as exact zeros, marking a below-limit reading without naming a limit; they fix no floor, so this deposit is one of the two for which observability labels are refused.</w:t>
      </w:r>
    </w:p>
    <w:p>
      <w:r>
        <w:rPr>
          <w:b/>
        </w:rPr>
        <w:t>A deposit analysed last, after the boundaries were fixed.</w:t>
      </w:r>
      <w:r>
        <w:t xml:space="preserve"> Amoxicillin-clavulanate against </w:t>
      </w:r>
      <w:r>
        <w:rPr>
          <w:i/>
        </w:rPr>
        <w:t>Escherichia coli</w:t>
      </w:r>
      <w:r>
        <w:t xml:space="preserve"> in a hollow-fibre infection model, with 100 µL plated and counts per mL so the assay floor is derived rather than inferred, measured day-zero densities for every culture rather than a nominal inoculum, and below-limit readings retained as a placeholder (Dubey et al. 2026; article Source Data, CC BY 4.0) (15, 16). It was located by a search of five general repositories, the tuberculosis consortia, the persistence literature, food microbiology and the hollow-fibre field, and was the only deposit found carrying all three fields the boundaries require. No boundary, threshold or modelling choice in this paper was informed by it: it was opened after all of them were fixed, and Section 7 is the only place it tests anything. What cannot be documented is the search itself. The repositories were searched interactively and no query log, access date or screening count was kept, so this paper reports the outcome of that search — one deposit carrying a measured per-culture starting density, a recorded plated volume and per-culture time-course counts together — without being able to evidence its extent. The claim that no deposit was selected after its result was known rests on the commit history of this repository rather than on a registration, and readers should weigh it accordingly, checking where reachability and identifiability were committed rather than where the deposit arrived, for the reason given above. The deposit had been public since the article describing it appeared on 13 June 2026, three months before it was opened here, so nothing outside this repository's own history evidences that it was not consulted sooner. That is an attestation, not a pre-registration, and it is weaker evidence than a frozen analysis plan deposited before the fact would have been. It does appear descriptively — a row of its own in Tables 2, 5, 9, 15, S5 and S7, and a table of its own in Table S9 — which is reporting rather than fitting.</w:t>
      </w:r>
    </w:p>
    <w:p>
      <w:r>
        <w:rPr>
          <w:b/>
        </w:rPr>
        <w:t>Concentration-by-time grid.</w:t>
      </w:r>
      <w:r>
        <w:t xml:space="preserve"> Apramycin and amikacin against </w:t>
      </w:r>
      <w:r>
        <w:rPr>
          <w:i/>
        </w:rPr>
        <w:t>M. tuberculosis</w:t>
      </w:r>
      <w:r>
        <w:t xml:space="preserve"> at 128, 32, 8, 4 and 1 µg/mL, triplicate log10 CFU at days 0, 3, 7 and 14, with a concurrent drug-free control at every visit (Kaur et al. 2024; figshare 26462791, CC BY 4.0) (12, 13). The amikacin arms are not analysed here. Within apramycin the 1 µg/mL arm shows net growth rather than killing and is excluded from the dose comparison, leaving 4 to 128 µg/mL as the range compared (Text S3).</w:t>
      </w:r>
    </w:p>
    <w:p>
      <w:pPr>
        <w:spacing w:before="240"/>
      </w:pPr>
      <w:r>
        <w:rPr>
          <w:b/>
          <w:sz w:val="22"/>
        </w:rPr>
        <w:t>The prospective experiment</w:t>
      </w:r>
    </w:p>
    <w:p>
      <w:r>
        <w:t>The two boundaries were used to design an experiment against themselves. Its design sheet, its predictions and its plate counts are one workbook, deposited with the analysis code, and the predictions were written on the design sheet before any plate was counted.</w:t>
      </w:r>
    </w:p>
    <w:p>
      <w:r>
        <w:rPr>
          <w:b/>
        </w:rPr>
        <w:t>Strain, media and incubation.</w:t>
      </w:r>
      <w:r>
        <w:t xml:space="preserve"> </w:t>
      </w:r>
      <w:r>
        <w:rPr>
          <w:i/>
        </w:rPr>
        <w:t>Escherichia coli</w:t>
      </w:r>
      <w:r>
        <w:t xml:space="preserve"> ATCC 25922, the quality-control reference strain the standard itself names. Broth and agar were Mueller–Hinton (HiMedia): cation-adjusted Mueller–Hinton broth for the minimum inhibitory concentration and the exposure, Mueller–Hinton agar for the viable counts. Cultures, the microdilution plates and the count plates were incubated at 35 ± 2 °C in ambient air, the reference conditions CLSI specifies for this organism, count plates being read after 18 to 24 h (8, 30).</w:t>
      </w:r>
    </w:p>
    <w:p>
      <w:r>
        <w:rPr>
          <w:b/>
        </w:rPr>
        <w:t>Minimum inhibitory concentration.</w:t>
      </w:r>
      <w:r>
        <w:t xml:space="preserve"> The ciprofloxacin MIC of the strain was determined by CLSI reference broth microdilution (30, 31): ciprofloxacin doubling-diluted in cation-adjusted Mueller–Hinton broth, a final inoculum of about 5 × 10⁵ CFU/mL, incubation at 35 ± 2 °C for 16 to 20 h in ambient air, and the MIC read as the lowest concentration with no visible growth, with growth, sterility and quality-control wells alongside as CLSI directs. The MIC was 0.008 mg/L, which falls within the CLSI quality-control range for this strain (31), and the exposure was set at ten times it, 0.08 mg/L.</w:t>
      </w:r>
    </w:p>
    <w:p>
      <w:r>
        <w:rPr>
          <w:b/>
        </w:rPr>
        <w:t>Drug and design.</w:t>
      </w:r>
      <w:r>
        <w:t xml:space="preserve"> Ciprofloxacin at ten times the MIC, 0.08 mg/L — chosen because it kills deeply and fast, so every arm reaches the floor inside a working day, which is what reachability and identifiability need in order to be testable at all. Three seeding arms were chosen so that the four-log endpoint is unreachable in one, marginal in the second and comfortable in the third: targets 5 × 10⁴, 5 × 10⁵ and 5 × 10⁶ CFU/mL, the middle arm being the inoculum the standard specifies. The densities actually reached were 6.4 × 10⁴, 4.4 × 10⁵ and 3.8 × 10⁶ per mL, recomputed from the day-zero counts rather than assumed from the targets. Three flasks per arm, nine in all, treated throughout as three independent biological replicates per arm; a drug-free growth control was carried in parallel. Sampling at 0, 1, 2, 4, 6 and 24 h; hour zero is not a convenience but the measurement of </w:t>
      </w:r>
      <w:r>
        <w:rPr>
          <w:i/>
        </w:rPr>
        <w:t>N</w:t>
      </w:r>
      <w:r>
        <w:t>₀ on which every boundary rests.</w:t>
      </w:r>
    </w:p>
    <w:p>
      <w:r>
        <w:rPr>
          <w:b/>
        </w:rPr>
        <w:t>Plating and enumeration.</w:t>
      </w:r>
      <w:r>
        <w:t xml:space="preserve"> At each time a sample was serially ten-fold diluted in sterile saline, and from one dilution series both 100 µL and 10 µL were plated, each in duplicate, across dilutions from neat to 10⁻⁴. Nine flasks × six times × two volumes × two plates is 216 plate readings, which is the whole dataset.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rPr>
          <w:b/>
        </w:rPr>
        <w:t>Drug carryover, and what was not done about it.</w:t>
      </w:r>
      <w:r>
        <w:t xml:space="preserve"> No washing, filtration, enzymatic inactivation or activated-charcoal step was used, and no carryover control was run. The only thing standing between the drug in the sample and the colonies on the plate is dilution, and at the shallow dilutions — neat and 10⁻¹ — that is the whole of it. This matters here more than it would in most time-kill work, because the shallow dilutions are exactly the ones in use once a culture approaches its floor, which is the regime the whole paper is about. Ciprofloxacin carried onto an agar plate at 0.08 mg/L is diluted by more than the ten-fold it would take to bring it below this strain's measured MIC of 0.008 mg/L, since 100 µL is spread into far more than 1 mL of agar; but sub-inhibitory carryover can still suppress colony formation, and nothing here rules that out. What can be said is the direction. The 100 µL plating carries ten times as much drug onto the plate as the 10 µL plating of the same sample, so any carryover effect works against the depth advantage the 100 µL plating is reported to have, and the paired comparison in Section 8 is conservative with respect to it. A carryover control belongs in any repetition of this experiment.</w:t>
      </w:r>
    </w:p>
    <w:p>
      <w:r>
        <w:rPr>
          <w:b/>
        </w:rPr>
        <w:t>The floor, and why duplicate plating moves it.</w:t>
      </w:r>
      <w:r>
        <w:t xml:space="preserve"> </w:t>
      </w:r>
      <w:r>
        <w:rPr>
          <w:i/>
        </w:rPr>
        <w:t>L</w:t>
      </w:r>
      <w:r>
        <w:t xml:space="preserve"> is one colony in the volume actually plated, referred back to the undiluted sample: at a single plate 10 CFU/mL at 100 µL and 100 CFU/mL at 10 µL. The two technical plates of a sample are pooled rather than averaged, so their volumes add — two 100 µL plates read together are 200 µL of sample, so one colony across the pair is 5 CFU/mL and not 10, and the 10 µL pair gives 50. Pooling therefore lowers the floor, and the two platings differ by exactly one log by construction. An earlier version of the analysis averaged the two plates' densities while keeping the single-plate floor, and a sample with one blank plate and one single-colony plate then reported a fraction below its own floor — a culture apparently killed deeper than its headroom allowed. That is the error this manuscript accuses the literature of, committed in its own arithmetic, and it is recorded here rather than quietly fixed.</w:t>
      </w:r>
    </w:p>
    <w:p>
      <w:r>
        <w:rPr>
          <w:b/>
        </w:rPr>
        <w:t>Analysis.</w:t>
      </w:r>
      <w:r>
        <w:t xml:space="preserve"> Headroom, censoring at the floor and the three tolerance classes are as defined in the Methods above and are applied here unchanged; a plate with no colonies is a left-censored reading below </w:t>
      </w:r>
      <w:r>
        <w:rPr>
          <w:i/>
        </w:rPr>
        <w:t>L</w:t>
      </w:r>
      <w:r>
        <w:t xml:space="preserve">, held at </w:t>
      </w:r>
      <w:r>
        <w:rPr>
          <w:i/>
        </w:rPr>
        <w:t>L</w:t>
      </w:r>
      <w:r>
        <w:t xml:space="preserve"> for log-reduction and plotting rather than set to zero. Each plating series carries the starting density measured on that same plating, because the 10 µL series never made the 100 µL measurement and importing it would report a depth that series could not have reached. Where the argument is about the plated volume alone — the two-label count — a single pooled </w:t>
      </w:r>
      <w:r>
        <w:rPr>
          <w:i/>
        </w:rPr>
        <w:t>N</w:t>
      </w:r>
      <w:r>
        <w:t xml:space="preserve">₀ per flask is used instead, and both figures are reported. Class labels use the thresholds of the clinical deposit reanalysed above, </w:t>
      </w:r>
      <w:r>
        <w:rPr>
          <w:i/>
        </w:rPr>
        <w:t>c</w:t>
      </w:r>
      <w:r>
        <w:t xml:space="preserve">₁ = 10⁻³ and </w:t>
      </w:r>
      <w:r>
        <w:rPr>
          <w:i/>
        </w:rPr>
        <w:t>c</w:t>
      </w:r>
      <w:r>
        <w:t>₂ = 10⁻², so that the two experiments are scored on one rule.</w:t>
      </w:r>
    </w:p>
    <w:p>
      <w:pPr>
        <w:spacing w:before="240"/>
      </w:pPr>
      <w:r>
        <w:rPr>
          <w:b/>
          <w:sz w:val="22"/>
        </w:rPr>
        <w:t>Two kinds of limit, kept apart</w:t>
      </w:r>
    </w:p>
    <w:p>
      <w:r>
        <w:t xml:space="preserve">No deposit analysed here reports a validated limit of quantification with a value. The six-laboratory file names the concept in the definitions of its BQL and AQL columns but defines it as whether the plate was countable, which is an operator's judgement rather than a validated limit.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and where none is recorded it is inferred from the deposit and is labelled as inferred. The term limit of quantification is used only in reporting what a source states.</w:t>
      </w:r>
    </w:p>
    <w:p>
      <w:r>
        <w:t xml:space="preserve">Those two names are the precise ones and are used where </w:t>
      </w:r>
      <w:r>
        <w:rPr>
          <w:i/>
        </w:rPr>
        <w:t>L</w:t>
      </w:r>
      <w:r>
        <w:t xml:space="preserve"> is defined or its provenance discussed. 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how it was arrived at, and how replicate plates and plated volumes were treated is tabulated deposit by deposit (Table S23).</w:t>
      </w:r>
    </w:p>
    <w:p>
      <w:r>
        <w:t>Two distinct censoring problems arise and are handled separately, because conflating them is the error this paper is about.</w:t>
      </w:r>
    </w:p>
    <w:p>
      <w:r>
        <w:t xml:space="preserve">A </w:t>
      </w:r>
      <w:r>
        <w:rPr>
          <w:b/>
        </w:rPr>
        <w:t>count below the assay floor</w:t>
      </w:r>
      <w:r>
        <w:t xml:space="preserve"> is left-censored: the population is somewhere below a known value. In the six-laboratory deposit that value is a property of the plated volume, as above. In the clinical deposit the readings are most probable numbers taking the discrete values of an MPN table (32, 33), and the day-5 column bottoms out at 23 per mL with a visible pile-up there; that value is treated as the floor, and the first Results section reports the evidence for it.</w:t>
      </w:r>
    </w:p>
    <w:p>
      <w:r>
        <w:t>That deposit states no limit of quantification, so the floor is inferred rather than read off, and the inference is bounded rather than asserted. Three things support it: 23 per mL is the smallest value anywhere in the file, nothing lies below it in 1 932 readings, and the minimum shifts by exactly a factor of ten per visit — 2 300, 230, 23 — in all three culture ages, which is the signature of one dilution series applied to a differently diluted sample at each timepoint.</w:t>
      </w:r>
    </w:p>
    <w:p>
      <w:r>
        <w:t xml:space="preserve">The floor is therefore visit-specific, and it does not follow that every visit has one. A floor is a value readings stop at, so it shows as a pile-up on the lowest rung with nothing below; the ten-fold shift alone only shows the dilution changing. Applying the rule of the next subsection visit by visit, the day-5 column has that signature in every panel and the day-2 column has it at 15 days, but the day-0 column does not: its minimum of 2 300 per mL occurs exactly once in each panel, with the next value at 6 100, which is the tail of a distribution rather than a floor. The verdict for day 0 is that no floor is evidenced. The starting density is therefore an observed value throughout, and no quantity in this paper that conditions on </w:t>
      </w:r>
      <w:r>
        <w:rPr>
          <w:i/>
        </w:rPr>
        <w:t>N₀</w:t>
      </w:r>
      <w:r>
        <w:t xml:space="preserve"> needs a censored specification. Since none of that is proof, the load-bearing count is recomputed at every value a three-tube MPN table returns below 23. The number of isolates lacking four logs of headroom is 33 at a floor of 23 and does not fall below 28 at a floor of 3.0, the lowest such table returns. The conclusion holds across the whole range, so it is not an artefact of where we place the floor, and the same sweep is run for every deposit that carries a floor (Table S24).</w:t>
      </w:r>
    </w:p>
    <w:p>
      <w:r>
        <w:t xml:space="preserve">One further property of </w:t>
      </w:r>
      <w:r>
        <w:rPr>
          <w:i/>
        </w:rPr>
        <w:t>L</w:t>
      </w:r>
      <w:r>
        <w:t xml:space="preserve"> decides how a floor reading is analysed, and the two cases are not interchangeable. A volume-derived plate floor bounds the true count from above: a blank plate means fewer than one colony in the volume plated, so the true count lies in [0, </w:t>
      </w:r>
      <w:r>
        <w:rPr>
          <w:i/>
        </w:rPr>
        <w:t>L</w:t>
      </w:r>
      <w:r>
        <w:t>]. An MPN rung does not. A reading of 23 per mL is the maximum-likelihood estimate of one well pattern — all wells positive at the first dilution, nothing beyond — and the likelihood around it extends well above the rung: the 95 per cent profile interval is 3 to 120 per mL under the deposit's own design (duplicate wells, a 100 µL first well, ten-fold dilutions; 5 to 91 under the triplicate protocol). Treating [0, 23] as the support of the true count is therefore wrong for this deposit, and the identifiability verdicts of Sections 2 and 3 were recomputed under the assay's own likelihood instead of the plate sweep (Table S20). Every day-5 verdict is unchanged: 12 of 18 floored isolates admit one class and six admit two in the 15-day panel, and six of six admit one in the 60-day panel, identically under the literal-pattern interval and the censoring bound at both 95 and 99 per cent. The verdicts are robust for a structural reason: the floored isolates' starting densities sit far from the shifted threshold, and even the widest 99 per cent bound, 209 per mL, falls short of the 230 per mL that would move any of the twelve. At day 2, where the floor is 230, the same sensitivity moves one isolate of eighteen from one compatible class to two.</w:t>
      </w:r>
    </w:p>
    <w:p>
      <w:r>
        <w:t>The six-laboratory deposit also carries the evidence for judging each reading against its own volume rather than pooling. Each sample is plated at four volumes at the same visit, so a below-limit flag can be checked against the other platings of the same flask. Of its 498 flags, 83, or 16.7 per cent, are contradicted: another plating of the same sample at the same visit, with a limit at least as sensitive, returns a quantified count above the flagged reading's limit. Those flags record a drop that missed rather than a culture that fell. Pooling the four volumes to a single limit would treat them as evidence about the population; judging each against the floor its own volume implies does not, and that is the reason the analysis is built the way it is. The cost of pooling can be priced. Pooling at the least sensitive volume would discard 126 genuine quantified counts, 5.9 per cent of them, and pooling changes the contradicted-flag rate itself: 16.7 per cent judged per volume, against 43.2 per cent pooled at 10 CFU/mL and 15.3 per cent pooled at 400. The audit's own answer depends on the choice, which is the strongest reason to make it explicitly.</w:t>
      </w:r>
    </w:p>
    <w:p>
      <w:r>
        <w:t xml:space="preserve">A </w:t>
      </w:r>
      <w:r>
        <w:rPr>
          <w:b/>
        </w:rPr>
        <w:t>crossing time not observed within the study</w:t>
      </w:r>
      <w:r>
        <w:t xml:space="preserve"> is right-censored: the event has not happened yet, which is not the same as the event having no time. A flask that never fell below the floor contributes the information that its crossing time exceeds its last visit, and enters the survival likelihood as such. It is never recorded as missing.</w:t>
      </w:r>
    </w:p>
    <w:p>
      <w:pPr>
        <w:spacing w:before="240"/>
      </w:pPr>
      <w:r>
        <w:rPr>
          <w:b/>
          <w:sz w:val="22"/>
        </w:rPr>
        <w:t>Floor posterior, refusal, and what is not learned</w:t>
      </w:r>
    </w:p>
    <w:p>
      <w:r>
        <w:t xml:space="preserve">The algebra of headroom and observability is closed form once </w:t>
      </w:r>
      <w:r>
        <w:rPr>
          <w:i/>
        </w:rPr>
        <w:t>L</w:t>
      </w:r>
      <w:r>
        <w:t xml:space="preserve"> is known. What requires inference is </w:t>
      </w:r>
      <w:r>
        <w:rPr>
          <w:i/>
        </w:rPr>
        <w:t>L</w:t>
      </w:r>
      <w:r>
        <w:t xml:space="preserve"> itself, and the two cases are not alike. A volume-derived floor — one colony in </w:t>
      </w:r>
      <w:r>
        <w:rPr>
          <w:i/>
        </w:rPr>
        <w:t>V</w:t>
      </w:r>
      <w:r>
        <w:t xml:space="preserve"> µL is 1000/</w:t>
      </w:r>
      <w:r>
        <w:rPr>
          <w:i/>
        </w:rPr>
        <w:t>V</w:t>
      </w:r>
      <w:r>
        <w:t xml:space="preserve"> per mL, and the observed minimum equals that value — is a point mass, with nothing to infer. A floor inferred from a pile-up on a most-probable-number rung carries a discrete posterior over the rungs at or below the observed minimum; the interval quoted is the 95 per cent highest-posterior-density support.</w:t>
      </w:r>
    </w:p>
    <w:p>
      <w:r>
        <w:t xml:space="preserve">That distinction is turned into a rule rather than a caveat. Where the verdict is that no floor is evidenced, or where the support spans more than one log10, the observability labels are </w:t>
      </w:r>
      <w:r>
        <w:rPr>
          <w:b/>
        </w:rPr>
        <w:t>refused</w:t>
      </w:r>
      <w:r>
        <w:t xml:space="preserve"> rather than reported (Table S19). Surviving fractions written as exact zeros with no named </w:t>
      </w:r>
      <w:r>
        <w:rPr>
          <w:i/>
        </w:rPr>
        <w:t>L</w:t>
      </w:r>
      <w:r>
        <w:t xml:space="preserve"> fall in that refused class, as does a deposit whose minimum occurs once in a continuous tail. The clinical deposit passes the rule with a support of 0.40 log10; two of the five deposits fail it and are labelled accordingly. This paper fits nothing to predict an MDK: once </w:t>
      </w:r>
      <w:r>
        <w:rPr>
          <w:i/>
        </w:rPr>
        <w:t>L</w:t>
      </w:r>
      <w:r>
        <w:t xml:space="preserve"> is in hand the rest is derived.</w:t>
      </w:r>
    </w:p>
    <w:p>
      <w:r>
        <w:t xml:space="preserve">The same likelihood turns the classification itself into an inference with a refusal rule. Given a floor reading, the posterior over the true count maps through the isolate's starting density to a posterior over class, and an isolate is refused when no class reaches 95 per cent (Table S12). In the 15-day panel the twelve isolates recorded as Low are confirmed with P(Low) ≥ 0.999, and the six recorded as Medium are refused: their posterior splits across the threshold the deposit drew at exactly </w:t>
      </w:r>
      <w:r>
        <w:rPr>
          <w:i/>
        </w:rPr>
        <w:t>L</w:t>
      </w:r>
      <w:r>
        <w:t>/</w:t>
      </w:r>
      <w:r>
        <w:rPr>
          <w:i/>
        </w:rPr>
        <w:t>N</w:t>
      </w:r>
      <w:r>
        <w:t>₀ = 10⁻³ (P(Low) 0.53, P(Medium) 0.47 under the primary analysis). The refusal is robust: across both well designs, both readings of the floor value and two priors — eight analyses in all — no Medium label is ever confirmed and no Low label ever fails, and under the most conservative analysis the six are assigned to Low rather than merely refused. The labels the arithmetic could not choose carry no defensible information; the labels it could are confirmed outright.</w:t>
      </w:r>
    </w:p>
    <w:p>
      <w:pPr>
        <w:spacing w:before="240"/>
      </w:pPr>
      <w:r>
        <w:rPr>
          <w:b/>
          <w:sz w:val="22"/>
        </w:rPr>
        <w:t>Causal mediation of the resistance association</w:t>
      </w:r>
    </w:p>
    <w:p>
      <w:r>
        <w:t xml:space="preserve">The attenuation of the resistance coefficient once starting density enters the model is reported in the Results as a descriptive ratio, which is what it is. Separately, a linear product-of-coefficients mediation decomposes the total effect of isoniazid resistance on the day-5 tolerance class into an average causal mediation effect through log10 </w:t>
      </w:r>
      <w:r>
        <w:rPr>
          <w:i/>
        </w:rPr>
        <w:t>N₀</w:t>
      </w:r>
      <w:r>
        <w:t xml:space="preserve"> and an average direct effect (34, 35), with bootstrap percentile intervals from 5 000 resamples, repeated on the baseline stratum and on two binary collapses of the outcome.</w:t>
      </w:r>
    </w:p>
    <w:p>
      <w:r>
        <w:t xml:space="preserve">The refit that answers the objection about the mediator being the outcome's own denominator is reported in Section 5. Its stratum is defined here: an isolate is excluded from it when its day-5 reading is at or below the floor of 23 MPN per mL, which is the condition under which the recorded fraction is </w:t>
      </w:r>
      <w:r>
        <w:rPr>
          <w:i/>
        </w:rPr>
        <w:t>L</w:t>
      </w:r>
      <w:r>
        <w:t>/</w:t>
      </w:r>
      <w:r>
        <w:rPr>
          <w:i/>
        </w:rPr>
        <w:t>N</w:t>
      </w:r>
      <w:r>
        <w:t>₀ and the class carries no measured numerator. Eighteen of the 203 meet it. The refit is the same estimator on the remaining 185, with the same seed and the same 5 000 resamples, so the two are comparable term by term.</w:t>
      </w:r>
    </w:p>
    <w:p>
      <w:r>
        <w:t>Sequential ignorability is assumed and is not testable here, so the estimate is accompanied by the sensitivity that matters: the residual correlation between mediator and outcome errors at which the point estimate crosses zero, which is about −0.23. The outcome is an ordinal class scored linearly, as in the association family; the binary collapses are reported because they do not depend on that scoring. No claim is made that unmeasured confounding is absent. The estimate replaces the attenuation percentage as the quantity cited for the pathway (Table S6).</w:t>
      </w:r>
    </w:p>
    <w:p>
      <w:r>
        <w:t>Fold-change figures such as 216-fold and 265-fold are ten raised to the unrounded log10 difference before display rounding, so that Δ</w:t>
      </w:r>
      <w:r>
        <w:rPr>
          <w:i/>
        </w:rPr>
        <w:t>h</w:t>
      </w:r>
      <w:r>
        <w:t xml:space="preserve"> = 2.3349… is reported as 216-fold rather than as 10^2.33.</w:t>
      </w:r>
    </w:p>
    <w:p>
      <w:pPr>
        <w:spacing w:before="240"/>
      </w:pPr>
      <w:r>
        <w:rPr>
          <w:b/>
          <w:sz w:val="22"/>
        </w:rPr>
        <w:t>What each analysis was fitted to</w:t>
      </w:r>
    </w:p>
    <w:p>
      <w:r>
        <w:t>A dozen different denominators appear in this paper and each is correct for its own analysis, so every one of them is derived in a single place (Table S2). The reductions are few and they are named: the MDR tolerance label is a fourth, unordered category and is dropped wherever an ordered outcome is fitted, taking 14 rows from each panel; six 60-day labels are absent before that, so the 60-day panel loses 20 in all; the growth proxy is missing for one isolate; and five of the 72 treated flasks in the six-laboratory deposit carry no usable starting density, which is why a comparison over 72 flasks is reported on 67. Of the 30 laboratory-by-arm cells, 29 retain enough quantified readings to fit a rate.</w:t>
      </w:r>
    </w:p>
    <w:p>
      <w:r>
        <w:t>The series counts in the six-laboratory deposit differ for the same reason. Each of the 90 flasks is plated four ways, giving 360 series of which 288 are treated; the descriptive Cox drops a further 27, 26 for carrying no quantified reading at day 0 or day 1 in their own plating and one for reading below its floor at day zero, leaving 261.</w:t>
      </w:r>
    </w:p>
    <w:p>
      <w:r>
        <w:t>Whether these exclusions are plausibly ignorable is tested rather than asserted: dropped rows are compared with retained rows on starting density and susceptibility (Table S25). The MDR exclusion differs in susceptibility by construction. The only difference not by construction is in the 60-day panel, where the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two quantities are used and are kept apart, because they are not interchangeable:</w:t>
      </w:r>
    </w:p>
    <w:p>
      <w:r>
        <w:rPr>
          <w:i/>
        </w:rPr>
        <w:t>H</w:t>
      </w:r>
      <w:r>
        <w:t xml:space="preserve"> = </w:t>
      </w:r>
      <w:r>
        <w:rPr>
          <w:i/>
        </w:rPr>
        <w:t>N₀</w:t>
      </w:r>
      <w:r>
        <w:t>/</w:t>
      </w:r>
      <w:r>
        <w:rPr>
          <w:i/>
        </w:rPr>
        <w:t>L</w:t>
      </w:r>
      <w:r>
        <w:t xml:space="preserve">, a ratio; </w:t>
      </w:r>
      <w:r>
        <w:rPr>
          <w:i/>
        </w:rPr>
        <w:t>h</w:t>
      </w:r>
      <w:r>
        <w:t xml:space="preserve"> = log10(</w:t>
      </w:r>
      <w:r>
        <w:rPr>
          <w:i/>
        </w:rPr>
        <w:t>N₀</w:t>
      </w:r>
      <w:r>
        <w:t>/</w:t>
      </w:r>
      <w:r>
        <w:rPr>
          <w:i/>
        </w:rPr>
        <w:t>L</w:t>
      </w:r>
      <w:r>
        <w:t xml:space="preserve">), the </w:t>
      </w:r>
      <w:r>
        <w:rPr>
          <w:b/>
        </w:rPr>
        <w:t>headroom</w:t>
      </w:r>
      <w:r>
        <w:t>, in log10 units.</w:t>
      </w:r>
    </w:p>
    <w:p>
      <w:r>
        <w:t xml:space="preserve">The headroom is the deepest reduction the assay can resolve. It is fixed by the dilution scheme and the starting culture before any drug acts, and variation between cultures is reported on </w:t>
      </w:r>
      <w:r>
        <w:rPr>
          <w:i/>
        </w:rPr>
        <w:t>h</w:t>
      </w:r>
      <w:r>
        <w:t xml:space="preserve"> rather than on </w:t>
      </w:r>
      <w:r>
        <w:rPr>
          <w:i/>
        </w:rPr>
        <w:t>N₀</w:t>
      </w:r>
      <w:r>
        <w:t>, as Δ</w:t>
      </w:r>
      <w:r>
        <w:rPr>
          <w:i/>
        </w:rPr>
        <w:t>h</w:t>
      </w:r>
      <w:r>
        <w:t xml:space="preserve"> = max(</w:t>
      </w:r>
      <w:r>
        <w:rPr>
          <w:i/>
        </w:rPr>
        <w:t>h</w:t>
      </w:r>
      <w:r>
        <w:t>) − min(</w:t>
      </w:r>
      <w:r>
        <w:rPr>
          <w:i/>
        </w:rPr>
        <w:t>h</w:t>
      </w:r>
      <w:r>
        <w:t>) with the corresponding fold difference 10^Δ</w:t>
      </w:r>
      <w:r>
        <w:rPr>
          <w:i/>
        </w:rPr>
        <w:t>h</w:t>
      </w:r>
      <w:r>
        <w:t xml:space="preserve">. That distinction is not notational here. Where </w:t>
      </w:r>
      <w:r>
        <w:rPr>
          <w:i/>
        </w:rPr>
        <w:t>L</w:t>
      </w:r>
      <w:r>
        <w:t xml:space="preserve"> is set by the plated volume, one culture read on a 2.5 µL drop and on a 100 µL quadruplicate differs by 1.60 log10 in headroom, and a figure computed from </w:t>
      </w:r>
      <w:r>
        <w:rPr>
          <w:i/>
        </w:rPr>
        <w:t>N₀</w:t>
      </w:r>
      <w:r>
        <w:t xml:space="preserve"> alone would discard it.</w:t>
      </w:r>
    </w:p>
    <w:p>
      <w:r>
        <w:t>Two boundaries follow from the definitions alone.</w:t>
      </w:r>
    </w:p>
    <w:p>
      <w:r>
        <w:rPr>
          <w:b/>
        </w:rPr>
        <w:t>Reachability.</w:t>
      </w:r>
      <w:r>
        <w:t xml:space="preserve"> The smallest value the assay reports as a measurement is </w:t>
      </w:r>
      <w:r>
        <w:rPr>
          <w:i/>
        </w:rPr>
        <w:t>L</w:t>
      </w:r>
      <w:r>
        <w:t xml:space="preserve">, so the largest reduction expressible as a measured value is </w:t>
      </w:r>
      <w:r>
        <w:rPr>
          <w:i/>
        </w:rPr>
        <w:t>h</w:t>
      </w:r>
      <w:r>
        <w:t xml:space="preserve">. A </w:t>
      </w:r>
      <w:r>
        <w:rPr>
          <w:i/>
        </w:rPr>
        <w:t>q</w:t>
      </w:r>
      <w:r>
        <w:t>-log endpoint is therefore observable if and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 xml:space="preserve">₂ …, the class is determined by the data only if the whole interval [0, </w:t>
      </w:r>
      <w:r>
        <w:rPr>
          <w:i/>
        </w:rPr>
        <w:t>L</w:t>
      </w:r>
      <w:r>
        <w:t>/</w:t>
      </w:r>
      <w:r>
        <w:rPr>
          <w:i/>
        </w:rPr>
        <w:t>N₀</w:t>
      </w:r>
      <w:r>
        <w:t>] lies inside one class. Since that interval contains zero, the only candidate is the lowest class, so the class is determined if and only if</w:t>
      </w:r>
    </w:p>
    <w:p>
      <w:r>
        <w:rPr>
          <w:i/>
        </w:rPr>
        <w:t>N₀</w:t>
      </w:r>
      <w:r>
        <w:t xml:space="preserve"> &gt; </w:t>
      </w:r>
      <w:r>
        <w:rPr>
          <w:i/>
        </w:rPr>
        <w:t>N</w:t>
      </w:r>
      <w:r>
        <w:t xml:space="preserve">_id = </w:t>
      </w:r>
      <w:r>
        <w:rPr>
          <w:i/>
        </w:rPr>
        <w:t>L</w:t>
      </w:r>
      <w:r>
        <w:t>/</w:t>
      </w:r>
      <w:r>
        <w:rPr>
          <w:i/>
        </w:rPr>
        <w:t>c</w:t>
      </w:r>
      <w:r>
        <w:t>₁.</w:t>
      </w:r>
    </w:p>
    <w:p>
      <w:r>
        <w:t xml:space="preserve">Above that boundary the lowest class is the only one compatible with a censored reading, whatever the true count was, so the class the rule assigns is fixed by </w:t>
      </w:r>
      <w:r>
        <w:rPr>
          <w:i/>
        </w:rPr>
        <w:t>N₀</w:t>
      </w:r>
      <w:r>
        <w:t xml:space="preserve"> rather than by the surviving population. The boundary says nothing about whether a culture reaches the floor, which depends on the drug; it says what the classification can mean once one has. Both boundaries are properties of the method and involve neither the drug nor the strain, and their ratio is </w:t>
      </w:r>
      <w:r>
        <w:rPr>
          <w:i/>
        </w:rPr>
        <w:t>N</w:t>
      </w:r>
      <w:r>
        <w:t>_reach/</w:t>
      </w:r>
      <w:r>
        <w:rPr>
          <w:i/>
        </w:rPr>
        <w:t>N</w:t>
      </w:r>
      <w:r>
        <w:t xml:space="preserve">_id = </w:t>
      </w:r>
      <w:r>
        <w:rPr>
          <w:i/>
        </w:rPr>
        <w:t>c</w:t>
      </w:r>
      <w:r>
        <w:t>₁ · 10^</w:t>
      </w:r>
      <w:r>
        <w:rPr>
          <w:i/>
        </w:rPr>
        <w:t>q</w:t>
      </w:r>
      <w:r>
        <w:t>.</w:t>
      </w:r>
    </w:p>
    <w:p>
      <w:r>
        <w:t xml:space="preserve">Seeding a culture above </w:t>
      </w:r>
      <w:r>
        <w:rPr>
          <w:i/>
        </w:rPr>
        <w:t>L</w:t>
      </w:r>
      <w:r>
        <w:t xml:space="preserve"> · max(10^</w:t>
      </w:r>
      <w:r>
        <w:rPr>
          <w:i/>
        </w:rPr>
        <w:t>q</w:t>
      </w:r>
      <w:r>
        <w:t>, 1/</w:t>
      </w:r>
      <w:r>
        <w:rPr>
          <w:i/>
        </w:rPr>
        <w:t>c</w:t>
      </w:r>
      <w:r>
        <w:t>₁) makes both failure modes impossible, which is a design criterion computable before an experiment rather than a diagnosis after it.</w:t>
      </w:r>
    </w:p>
    <w:p>
      <w:pPr>
        <w:spacing w:before="240"/>
      </w:pPr>
      <w:r>
        <w:rPr>
          <w:b/>
          <w:sz w:val="22"/>
        </w:rPr>
        <w:t>Estimation</w:t>
      </w:r>
    </w:p>
    <w:p>
      <w:r>
        <w:t xml:space="preserve">A </w:t>
      </w:r>
      <w:r>
        <w:rPr>
          <w:b/>
        </w:rPr>
        <w:t>Tobit model</w:t>
      </w:r>
      <w:r>
        <w:t xml:space="preserve"> fits log10 CFU/mL linearly in time by maximum likelihood (36). An observed reading contributes the usual Gaussian density; a censored reading contributes log Φ((limit − µ)/σ), the probability that it fell below its own limit. This is Beal's M3 (Beal 2001) written for this assay (37). Intervals come from the profile likelihood.</w:t>
      </w:r>
    </w:p>
    <w:p>
      <w:r>
        <w:rPr>
          <w:b/>
        </w:rPr>
        <w:t>Multiple imputation</w:t>
      </w:r>
      <w:r>
        <w:t xml:space="preserve"> draws each censored reading from the fitted normal truncated at its own limit, refits by ordinary least squares, and pools 50 fits by Rubin's rules (38). The imputation is proper: the line and the error scale are redrawn from the Tobit fit's own asymptotic distribution at every imputation rather than held at the point estimate, so the between-imputation variance carries the uncertainty in the model that generated the draws. What the agreement between the two estimators establishes is therefore that the answer does not depend on which arithmetic recovers it. It does not establish that the sub-floor distribution is normal: both make that assumption, and no reading below the floor exists to test it against. Where the assumption itself is in question, the quantity to look at is the headroom, not the fit.</w:t>
      </w:r>
    </w:p>
    <w:p>
      <w:r>
        <w:t>The growth proxy is the deposit's time to an optical density of 0.4, in days; the deposit records no wavelength, so none is given here. Because it is a time, it runs inversely to growth rate: a larger value is a slower-growing isolate.</w:t>
      </w:r>
    </w:p>
    <w:p>
      <w:r>
        <w:rPr>
          <w:b/>
        </w:rPr>
        <w:t>The tolerance label</w:t>
      </w:r>
      <w:r>
        <w:t xml:space="preserve"> is modelled as an ordered categorical outcome by proportional-odds ordinal logistic regression (39), with starting density as a prespecified covariate and every association reported unadjusted and adjusted for it. The MDR category of the deposited label is a fourth, unordered category and is excluded; all 14 rows carrying it fall outside the susceptible-versus-resistant contrast in any case, so the ordinal and linear models are fitted to identical rows. Proportional odds is tested by a Brant test per predictor (40) and by a likelihood-ratio test against a generalised ordered logit (41) with the coefficient released; where it fails, the released partial-proportional-odds fit is reported and checked against a multinomial fit that assumes no ordering. Rows are dropped only for a missing outcome, predictor or starting density, and the dropped rows are compared with the retained ones on starting density and susceptibility. Because the deposit carries no patient identifier, the repeated-isolate structure is handled by a baseline-only stratum rather than by a random effect, and the linear models of the earlier analysis are retained as a sensitivity comparison (Table S26).</w:t>
      </w:r>
    </w:p>
    <w:p>
      <w:r>
        <w:rPr>
          <w:b/>
        </w:rPr>
        <w:t>Time-to-event analysis</w:t>
      </w:r>
      <w:r>
        <w:t xml:space="preserve"> treats the </w:t>
      </w:r>
      <w:r>
        <w:rPr>
          <w:b/>
        </w:rPr>
        <w:t>first observed crossing below the assay floor</w:t>
      </w:r>
      <w:r>
        <w:t xml:space="preserve"> as the event, with series never falling below their own floor right-censored at their last visit. The event is named that way throughout and is not read as clearance, sterilisation or the end of a culture: of the series that cross, 60 per cent read above the floor again at a later visit.</w:t>
      </w:r>
    </w:p>
    <w:p>
      <w:r>
        <w:t xml:space="preserve">The crossing time is interval-censored, not observed: it lies between the last visit above the floor and the first visit below it, and the visit schedule is coarse. Interval-censored fits (29) are therefore reported alongside the naive treatment that pins the event to the visit at which the blank plate was noticed. Kaplan–Meier (42) and Cox proportional hazards (43) are retained as </w:t>
      </w:r>
      <w:r>
        <w:rPr>
          <w:b/>
        </w:rPr>
        <w:t>descriptive</w:t>
      </w:r>
      <w:r>
        <w:t xml:space="preserve"> summaries of first crossing only; their intervals are replaced by cluster bootstraps over laboratories and over flasks (44), because those 261 series come from 72 flasks in 6 laboratories and the partial likelihood treats them as independent. No p-value is quoted for a term that is constant within laboratory, since six clusters cannot support one. Proportionality is tested on Schoenfeld residuals (45, 46).</w:t>
      </w:r>
    </w:p>
    <w:p>
      <w:r>
        <w:t>A cell is fitted only when it retains at least six quantified readings at three distinct times; below that the slope is determined by the censoring pattern rather than by the counts.</w:t>
      </w:r>
    </w:p>
    <w:p>
      <w:r>
        <w:rPr>
          <w:b/>
        </w:rPr>
        <w:t>The replicate-level bootstrap</w:t>
      </w:r>
      <w:r>
        <w:t xml:space="preserve"> (47) behind the interval slopes resamples the three replicate counts with replacement at both ends of each interval, takes their mean, refits the concentration slope on each draw, and takes percentile intervals from 20 000 draws. The resampling unit is the replicate count, not the interval, so a draw can repeat a replicate at one end and not the other. It is a draw of the three-replicate MEAN, because the mean is what the slope is fitted through; drawing a single replicate instead would attach the variance of one count to an estimate built from three. This bootstrap, and not the least-squares fit through the four concentration means that the deposited table reports beside it, is the interval quoted in Text S3 and drawn in Figure S3C. The least-squares fit is kept in the table for comparison and is labelled there: it has two residual degrees of freedom and discards the replicate scatter entirely. An interval on a proportion — an inversion rate, or a share of flasks — is the Jeffreys interval (48), which is the equal-tailed posterior under the Jeffreys prior and does not collapse to zero width when the count is 0 or n, as the normal approximation does at the sample sizes here.</w:t>
      </w:r>
    </w:p>
    <w:p>
      <w:r>
        <w:rPr>
          <w:b/>
        </w:rPr>
        <w:t>What is standard and what is not.</w:t>
      </w:r>
      <w:r>
        <w:t xml:space="preserve"> The Tobit fit, Kaplan–Meier, Cox and the interval-censored fits come from the packages named below. Four procedures do not: the Brant test of proportional odds, the partial-proportional-odds fit with a per-cut coefficient mask, the product-of-coefficients mediation with bootstrap percentile intervals, and the residual-correlation sensitivity for sequential ignorability. Those are implemented in the released analysis code rather than taken from a package — in `exp30_ordinal_tolerance.py` and `exp34_mediation.py` — and the partial-proportional-odds likelihood is validated against the proportional-odds fit it nests, agreeing to 1.0 × 10⁻¹⁰ in log-likelihood when nothing is released. The multinomial check uses statsmodels.</w:t>
      </w:r>
    </w:p>
    <w:p>
      <w:pPr>
        <w:spacing w:before="240"/>
      </w:pPr>
      <w:r>
        <w:rPr>
          <w:b/>
          <w:sz w:val="22"/>
        </w:rPr>
        <w:t>The decomposition of a crossing time</w:t>
      </w:r>
    </w:p>
    <w:p>
      <w:r>
        <w:t xml:space="preserve">Over an interval in which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is exact on this model and splits a difference in crossing time into a distance term and a rate term. An </w:t>
      </w:r>
      <w:r>
        <w:rPr>
          <w:b/>
        </w:rPr>
        <w:t>inversion</w:t>
      </w:r>
      <w:r>
        <w:t xml:space="preserve"> is a pair in which A fell faster yet crossed later, which occurs exactly when </w:t>
      </w:r>
      <w:r>
        <w:rPr>
          <w:i/>
        </w:rPr>
        <w:t>D_A</w:t>
      </w:r>
      <w:r>
        <w:t>/</w:t>
      </w:r>
      <w:r>
        <w:rPr>
          <w:i/>
        </w:rPr>
        <w:t>D_B</w:t>
      </w:r>
      <w:r>
        <w:t xml:space="preserve"> &gt; </w:t>
      </w:r>
      <w:r>
        <w:rPr>
          <w:i/>
        </w:rPr>
        <w:t>b_A</w:t>
      </w:r>
      <w:r>
        <w:t>/</w:t>
      </w:r>
      <w:r>
        <w:rPr>
          <w:i/>
        </w:rPr>
        <w:t>b_B</w:t>
      </w:r>
      <w:r>
        <w:t xml:space="preserve">. A single slope is not a full description of a biphasic trajectory, so </w:t>
      </w:r>
      <w:r>
        <w:rPr>
          <w:i/>
        </w:rPr>
        <w:t>b</w:t>
      </w:r>
      <w:r>
        <w:t xml:space="preserve"> is the average decline over the window fitted, and the variance shares reported below are shares of that averaged slope; averaging across decline and regrowth moves the rate term up rather than down, so the distance share is a lower bound; </w:t>
      </w:r>
      <w:r>
        <w:rPr>
          <w:i/>
        </w:rPr>
        <w:t>D</w:t>
      </w:r>
      <w:r>
        <w:t xml:space="preserve"> is taken from the measured day 0 to 1 density rather than from the fitted intercept, because a single line through a biphasic curve extrapolates back to an intercept well below the culture the flask started from.</w:t>
      </w:r>
    </w:p>
    <w:p>
      <w:pPr>
        <w:spacing w:before="240"/>
      </w:pPr>
      <w:r>
        <w:rPr>
          <w:b/>
          <w:sz w:val="22"/>
        </w:rPr>
        <w:t>Multiplicity</w:t>
      </w:r>
    </w:p>
    <w:p>
      <w:r>
        <w:t>Where a question admits more than one test, every test the deposit supports is run, and the family is corrected by the Benjamini–Hochberg procedure (49) at a false discovery rate of 5 per cent. For each test we report the correlation the sample size could have resolved at 95 per cent confidence, so that a null is bounded rather than asserted.</w:t>
      </w:r>
    </w:p>
    <w:p>
      <w:pPr>
        <w:spacing w:before="240"/>
      </w:pPr>
      <w:r>
        <w:rPr>
          <w:b/>
          <w:sz w:val="22"/>
        </w:rPr>
        <w:t>Reproducibility</w:t>
      </w:r>
    </w:p>
    <w:p>
      <w:r>
        <w:t>Every number in this paper is regenerated by a script that writes a machine- readable receipt of what it computed, and a separate audit script recomputes 174 of the quantities quoted in the text from the tables they came from and reports any that disagree. That audit is not exhaustive: it pins the load-bearing counts, every headline interval and every figure a conclusion rests on, and it does not pin every cell of every table.</w:t>
      </w:r>
    </w:p>
    <w:p>
      <w:r>
        <w:t>A second audit reads what the first cannot. The value audit parses table bodies only, so it never sees a table legend, a figure legend, Box 1 or the Abstract — and it has no way to notice that a number called a hazard ratio in one place is called a p-value in another, which is a mistake this manuscript made and a reviewer caught. The second audit checks that every number in those four regions, conventions such as the endpoint constants and the confidence level aside, occurs in a results file, a receipt or a table body; that no numeric literal carries two incompatible statistical labels and that no most-probable number is printed as a colony count; that percentages, fold-changes, corrected thresholds, spans and interval bounds follow from their own stated inputs; and that no conclusion the self-audit marks unsupported is still asserted anywhere, that every sample size traces to a line in the flow account, that every cross-reference resolves, and that no block of prose states the same thing twice, which is what a paragraph looks like when the passage its rewrite replaced was never deleted. It fails the pipeline on the findings it grades as contradictions and reports anything weaker without failing; an untraceable number in a figure legend, in Box 1 or in the Abstract is weaker, and so is a legend count its own table contradicts where the results carry that value elsewhere. Every table is generated from the results files and the manuscript is assembled from that generated material, never edited downstream of it, so a table cannot drift from the analysis behind it.</w:t>
      </w:r>
    </w:p>
    <w:p>
      <w:r>
        <w:t>What the second audit does not cover is worth stating, because a guarantee whose edges are unstated will be read as covering everything. It is an existence check before it is a semantic one: a number that is correct somewhere in the corpus but attached to the wrong quantity passes unless some other rule reaches it. Figure legends, Box 1 and the Abstract have no staleness net comparable to the one that diffs each spliced table against the block that generated it, so a stale number there is caught only if it exists nowhere else. An error introduced into a legend inside the table-generating code is invisible to a check that compares the paper against that code's own output. And the self-audit table is the premise of the withdrawn-claim check rather than its subject: the check sees only the conclusions that table lists, so a reading retracted in the prose alone lies outside it, and a verdict silently changed from unsupported to supported would not be detected.</w:t>
      </w:r>
    </w:p>
    <w:p>
      <w:r>
        <w:t>Analyses used Python 3.14 with numpy 2.5.0 (50), scipy 1.18.0 (51), pandas 3.0.3 (52), statsmodels 0.15.0 (53) and lifelines 0.30.3 (54).</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S25. The last rows of each block cover sets counted in units other than isolates or flasks -- pairs, flags, cells, readings -- because a reader meeting one of those figures in the text needs somewhere to look it up too.</w:t>
      </w:r>
    </w:p>
    <w:p>
      <w:r>
        <w:rPr>
          <w:b/>
        </w:rPr>
        <w:t>Table S3.</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S4.</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S5.</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5.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S8 records what each conclusion is worth once it is applied.</w:t>
      </w:r>
    </w:p>
    <w:p>
      <w:r>
        <w:rPr>
          <w:b/>
        </w:rPr>
        <w:t>Table S6.</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S7.</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S13 instead use untreated day-zero readings only, so the two tables are not expected to match.</w:t>
      </w:r>
    </w:p>
    <w:p>
      <w:r>
        <w:rPr>
          <w:b/>
        </w:rPr>
        <w:t>Table S8.</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S9.</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S10.</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S11.</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S12.</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S13.</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S14.</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S15.</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S16.</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S17.</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S18.</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S19.</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S20.</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S21.</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S22.</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r>
        <w:rPr>
          <w:b/>
        </w:rPr>
        <w:t>Table S23.</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S24.</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S25.</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S26.</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p>
      <w:r>
        <w:t>30. Clinical and Laboratory Standards Institute. 2024. Methods for dilution antimicrobial susceptibility tests for bacteria that grow aerobically, 12th ed. CLSI standard M07. Clinical and Laboratory Standards Institute, Wayne, PA.</w:t>
      </w:r>
    </w:p>
    <w:p>
      <w:r>
        <w:t>31. Clinical and Laboratory Standards Institute. 2026. Performance standards for antimicrobial susceptibility testing, 36th ed. CLSI supplement M100. Clinical and Laboratory Standards Institute, Wayne, PA.</w:t>
      </w:r>
    </w:p>
    <w:p>
      <w:r>
        <w:t>32. Cochran WG. 1950. Estimation of bacterial densities by means of the "most probable number". Biometrics 6:105. https://doi.org/10.2307/3001491.</w:t>
      </w:r>
    </w:p>
    <w:p>
      <w:r>
        <w:t>33. Blodgett R. 2023. BAM appendix 2: most probable number from serial dilutions. Bacteriological analytical manual. US Food and Drug Administration, Silver Spring, MD. https://www.fda.gov/food/laboratory-methods-food/bam-appendix-2-most-probable-number-serial-dilutions.</w:t>
      </w:r>
    </w:p>
    <w:p>
      <w:r>
        <w:t>34. Imai K, Keele L, Yamamoto T. 2010. Identification, inference and sensitivity analysis for causal mediation effects. Stat Sci 25:51-71. https://doi.org/10.1214/10-STS321.</w:t>
      </w:r>
    </w:p>
    <w:p>
      <w:r>
        <w:t>35. Baron RM, Kenny DA. 1986. The moderator-mediator variable distinction in social psychological research: conceptual, strategic, and statistical considerations. J Pers Soc Psychol 51:1173-1182. https://doi.org/10.1037/0022-3514.51.6.1173.</w:t>
      </w:r>
    </w:p>
    <w:p>
      <w:r>
        <w:t>36. Tobin J. 1958. Estimation of relationships for limited dependent variables. Econometrica 26:24. https://doi.org/10.2307/1907382.</w:t>
      </w:r>
    </w:p>
    <w:p>
      <w:r>
        <w:t>37. Beal SL. 2001. Ways to fit a PK model with some data below the quantification limit. J Pharmacokinet Pharmacodyn 28:481-504. https://doi.org/10.1023/A:1012299115260.</w:t>
      </w:r>
    </w:p>
    <w:p>
      <w:r>
        <w:t>38. Rubin DB. 1987. Multiple imputation for nonresponse in surveys. John Wiley &amp; Sons, New York, NY. https://doi.org/10.1002/9780470316696.</w:t>
      </w:r>
    </w:p>
    <w:p>
      <w:r>
        <w:t>39. McCullagh P. 1980. Regression models for ordinal data. J R Stat Soc Series B Stat Methodol 42:109-127. https://doi.org/10.1111/j.2517-6161.1980.tb01109.x.</w:t>
      </w:r>
    </w:p>
    <w:p>
      <w:r>
        <w:t>40. Brant R. 1990. Assessing proportionality in the proportional odds model for ordinal logistic regression. Biometrics 46:1171-1178.</w:t>
      </w:r>
    </w:p>
    <w:p>
      <w:r>
        <w:t>41. Peterson B, Harrell FE Jr. 1990. Partial proportional odds models for ordinal response variables. J R Stat Soc Ser C Appl Stat 39:205. https://doi.org/10.2307/2347760.</w:t>
      </w:r>
    </w:p>
    <w:p>
      <w:r>
        <w:t>42. Kaplan EL, Meier P. 1958. Nonparametric estimation from incomplete observations. J Am Stat Assoc 53:457-481. https://doi.org/10.1080/01621459.1958.10501452.</w:t>
      </w:r>
    </w:p>
    <w:p>
      <w:r>
        <w:t>43. Cox DR. 1972. Regression models and life-tables. J R Stat Soc Series B Stat Methodol 34:187-202. https://doi.org/10.1111/j.2517-6161.1972.tb00899.x.</w:t>
      </w:r>
    </w:p>
    <w:p>
      <w:r>
        <w:t>44. Field CA, Welsh AH. 2007. Bootstrapping clustered data. J R Stat Soc Series B Stat Methodol 69:369-390. https://doi.org/10.1111/j.1467-9868.2007.00593.x.</w:t>
      </w:r>
    </w:p>
    <w:p>
      <w:r>
        <w:t>45. Schoenfeld D. 1982. Partial residuals for the proportional hazards regression model. Biometrika 69:239-241. https://doi.org/10.1093/biomet/69.1.239.</w:t>
      </w:r>
    </w:p>
    <w:p>
      <w:r>
        <w:t>46. Grambsch PM, Therneau TM. 1994. Proportional hazards tests and diagnostics based on weighted residuals. Biometrika 81:515-526. https://doi.org/10.1093/biomet/81.3.515.</w:t>
      </w:r>
    </w:p>
    <w:p>
      <w:r>
        <w:t>47. Efron B. 1979. Bootstrap methods: another look at the jackknife. Ann Stat 7:1-26. https://doi.org/10.1214/aos/1176344552.</w:t>
      </w:r>
    </w:p>
    <w:p>
      <w:r>
        <w:t>48. Brown LD, Cai TT, DasGupta A. 2001. Interval estimation for a binomial proportion. Stat Sci 16:101-133. https://doi.org/10.1214/ss/1009213286.</w:t>
      </w:r>
    </w:p>
    <w:p>
      <w:r>
        <w:t>49. Benjamini Y, Hochberg Y. 1995. Controlling the false discovery rate: a practical and powerful approach to multiple testing. J R Stat Soc Series B Stat Methodol 57:289-300. https://doi.org/10.1111/j.2517-6161.1995.tb02031.x.</w:t>
      </w:r>
    </w:p>
    <w:p>
      <w:r>
        <w:t>50.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51.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52. McKinney W. 2010. Data structures for statistical computing in Python. Proceedings of the 9th Python in Science Conference 56-61. https://doi.org/10.25080/Majora-92bf1922-00a.</w:t>
      </w:r>
    </w:p>
    <w:p>
      <w:r>
        <w:t>53. Seabold S, Perktold J. 2010. Statsmodels: econometric and statistical modeling with Python. Proceedings of the 9th Python in Science Conference 92-96. https://doi.org/10.25080/Majora-92bf1922-011.</w:t>
      </w:r>
    </w:p>
    <w:p>
      <w:r>
        <w:t>54. Davidson-Pilon C. 2019. lifelines: survival analysis in Python. J Open Source Softw 4:1317. https://doi.org/10.21105/joss.01317.</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