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constraints from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and isoniazid-resistant tuberculosis, read at the edge of that floor, is where the distortion concentrates.</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grow the organism, add the drug, and at set times dilute a sample, spread it on a plate, and count the colonies, each standing for one bacterium alive when it was plated,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(90, 99 or 99.99 per cent)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(the assay stopped looking)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one deciding whether an endpoint is reachable and the other whether a floor-level reading identifies a class, and both are computed from quantities a time-kill protocol already records. Neither asks a laboratory to measure anything new.</w:t>
      </w:r>
    </w:p>
    <w:p>
      <w:r>
        <w:t xml:space="preserve">Answering that question at all requires deposits that record the three quantities the arithmetic needs (a starting density measured before treatment, a time series, and either a plated volume or a stated floor),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Rifampicin tolerance in 217 clinical isolates is scored against an unreported assay floor</w:t>
      </w:r>
    </w:p>
    <w:p>
      <w:r>
        <w:t>Most-probable-number (MPN) readings take only the discrete values of an MPN table (5, 6),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Each isolate therefore carries a fixed budget of killing the assay can see. At 15 days of prior culture the starting densities run from 2,300 to 61,000,000 per mL (3.36 to 7.79 log10), so headroom, the distance from the starting density down to the floor, runs from 2.00 to 6.42 log10 (Fig. 1B, Table 1): both spans are the same 4.42 log10.</w:t>
      </w:r>
    </w:p>
    <w:p>
      <w:r>
        <w:t xml:space="preserve">Against that budget the three deposited endpoints behave very differently. Every isolate has room for a 90 or a 99 per cent reduction: 0 of 217 fall short in either case. </w:t>
      </w:r>
      <w:r>
        <w:rPr>
          <w:b/>
        </w:rPr>
        <w:t>Thirty-three of 217 isolates (15.2 per cent) lack the headroom for the 99.99 per cent endpoint</w:t>
      </w:r>
      <w:r>
        <w:t>, a four-log reduction that was unobservable for them before rifampicin was added.</w:t>
      </w:r>
    </w:p>
    <w:p>
      <w:r>
        <w:t xml:space="preserve">All 33 are recorded as not having reached the endpoint, sitting at the </w:t>
      </w:r>
      <w:r>
        <w:rPr>
          <w:b/>
        </w:rPr>
        <w:t>assay ceiling</w:t>
      </w:r>
      <w:r>
        <w:t>: a census rather than an estimate, since the floor censors the count while the ceiling censors time, an isolate not yet at its endpoint after six days being recorded at the last day rather than the day it would have reached. Among the 184 isolates that did have four logs of headroom, 162 are also at the ceiling, 88.0 per cent.</w:t>
      </w:r>
    </w:p>
    <w:p>
      <w:pPr>
        <w:spacing w:before="240"/>
      </w:pPr>
      <w:r>
        <w:rPr>
          <w:b/>
          <w:sz w:val="22"/>
        </w:rPr>
        <w:t>2. The same floor-level reading yields opposite tolerance labels depending on starting density</w:t>
      </w:r>
    </w:p>
    <w:p>
      <w:r>
        <w:t>The deposited tolerance level is a cut-off on the recorded surviving fraction, with no overlap between classes. The thresholds themselves are not deposited; recovered here, at day 5 and 15 days of prior culture, low tolerance covers fractions below 10⁻³, medium 10⁻³ to 10⁻², high above 10⁻². Those cuts reproduce every usable class in the file, 203 of 203 (Table S2). Usable means the 203 of 217 isolates whose label is one of the three ordered classes; the other 14 carry the "MDR" category, which no ordered analysis can place (Table S3).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Their starting densities span 265-fold, from 23,000 to 6.1 × 10⁶ per mL, so the same terminal reading implies a different range of compatible reductions in each: at least 3.00 log reduction for the isolate that began at 23,000, at least 5.42 logs for the one that began at 6.1 × 10⁶, and in either case the true reduction may be anything from that bound down to complete kill. What the deposit records instead is a single number per isolate, </w:t>
      </w:r>
      <w:r>
        <w:rPr>
          <w:i/>
        </w:rPr>
        <w:t>L</w:t>
      </w:r>
      <w:r>
        <w:t>/</w:t>
      </w:r>
      <w:r>
        <w:rPr>
          <w:i/>
        </w:rPr>
        <w:t>N₀</w:t>
      </w:r>
      <w:r>
        <w:t>, and those recorded fractions span the same 265-fold, from 3.8 × 10⁻⁶ to 1.0 × 10⁻³ (Fig. 1C), because that is what the ratio is. They are upper bounds on survival, not measurements of it.</w:t>
      </w:r>
    </w:p>
    <w:p>
      <w:r>
        <w:t xml:space="preserve">The labels those eighteen received differ accordingly. Six isolates that began at 23,000 per mL recorded a fraction of 10⁻³ and were classified </w:t>
      </w:r>
      <w:r>
        <w:rPr>
          <w:b/>
        </w:rPr>
        <w:t>medium</w:t>
      </w:r>
      <w:r>
        <w:t xml:space="preserve"> tolerance; twelve that began at 230,000 or above recorded 10⁻⁴ or less and were classified </w:t>
      </w:r>
      <w:r>
        <w:rPr>
          <w:b/>
        </w:rPr>
        <w:t>low</w:t>
      </w:r>
      <w:r>
        <w:t>. A single cut on the starting density alone reproduces all eighteen (Table 2): once a reading is censored at the floor, the starting density fixes which label the published rule is able to return.</w:t>
      </w:r>
    </w:p>
    <w:p>
      <w:pPr>
        <w:spacing w:before="240"/>
      </w:pPr>
      <w:r>
        <w:rPr>
          <w:b/>
          <w:sz w:val="22"/>
        </w:rPr>
        <w:t>3. The floor predicts, before rifampicin is added, which isolates will be mislabeled</w:t>
      </w:r>
    </w:p>
    <w:p>
      <w:r>
        <w:t>Sections 1 and 2 counted isolates. The two boundaries derived in the Methods do more: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230,000 per mL and </w:t>
      </w:r>
      <w:r>
        <w:rPr>
          <w:i/>
        </w:rPr>
        <w:t>N</w:t>
      </w:r>
      <w:r>
        <w:t>_id = 23/10⁻³ = 23,000 per mL. Applied to the 15-day panel, the first predicts the 33 isolates unable to reach the 99.99 per cent endpoint; the second predicts that of the eighteen isolates whose reading rests on the floor, twelve have only the lowest class compatible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What is sharp is the boundary case. Six isolates sit at exactly 23,000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any dataset reporting a starting density, a floor and a threshold classification can be checked against them.</w:t>
      </w:r>
    </w:p>
    <w:p>
      <w:pPr>
        <w:spacing w:before="240"/>
      </w:pPr>
      <w:r>
        <w:rPr>
          <w:b/>
          <w:sz w:val="22"/>
        </w:rPr>
        <w:t>4. Isoniazid-resistant isolates appear more rifampicin-tolerant, but the effect tracks a thinner inoculum, not resistance</w:t>
      </w:r>
    </w:p>
    <w:p>
      <w:r>
        <w:t>There are two candidate predictors of the deposited label, each tested at two culture ages and two endpoint depths, eight tests in all. Eight tests on one question will throw up a false positive on their own, so they are corrected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starting density enters the model. Unadjusted, a resistant isolate has 2.32 times the odds of a higher tolerance class (1.30 to 4.12, p = 0.0042); adjusted, the odds ratio falls to 1.31 (0.67 to 2.57, p = 0.42), and the interval no longer excludes one. Starting density is the strongest term in the file: every ten-fold rise in the starting MPN halves the odds of a higher tolerance class (OR 0.480, 0.340 to 0.677, p = 2.9 × 10⁻⁵).</w:t>
      </w:r>
    </w:p>
    <w:p>
      <w:r>
        <w:t>Why the adjustment does that is measurable. Isoniazid-resistant isolates go into this assay at 5.36 log10 against 6.36 for susceptible isolates, ten-fold thinner (Mann-Whitney p = 9.1 × 10⁻¹⁴ (7)), and 22 of the 84 resistant isolates carrying an ordered label lack the headroom for the deepest endpoint, 26.2 per cent, against 9 of 119 susceptible, 7.6 per cent. They are one log short of observable killing before the experiment begins.</w:t>
      </w:r>
    </w:p>
    <w:p>
      <w:r>
        <w:t>In that stratum the two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5. Six laboratories given one M. tuberculosis protocol still see six different assay floors</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(8, 9). It does.</w:t>
      </w:r>
    </w:p>
    <w:p>
      <w:r>
        <w:t>At ten times the minimum inhibitory concentration of moxifloxacin all six laboratories return a positive kill rate, spanning 5.2-fold, from 0.090 to 0.464 log10 CFU/mL per day (Fig. 2A, Table S5).</w:t>
      </w:r>
    </w:p>
    <w:p>
      <w:r>
        <w:t>The two orderings do not correspond. Rank the laboratories by starting density and the three lowest are exactly the three that recorded crossings, the three highest exactly the three that did not, without exception, a split with probability 1/20 under chance alone, reported as an ordering and not a test (Table S6). Rank them by kill rate and there is no such correspondence (Fig. 2B). Institute F has the highest starting density at 6.53 log10 among treated flasks of this arm, kills faster than four of the other five at 0.223 log10 per day, and records no crossing. Institute E returns the slowest rate of all at 0.090 and also records none.</w:t>
      </w:r>
    </w:p>
    <w:p>
      <w:pPr>
        <w:spacing w:before="240"/>
      </w:pPr>
      <w:r>
        <w:rPr>
          <w:b/>
          <w:sz w:val="22"/>
        </w:rPr>
        <w:t>6. The two boundaries hold in a deposit never used to derive them, in a different organism and drug</w:t>
      </w:r>
    </w:p>
    <w:p>
      <w:r>
        <w:t xml:space="preserve">Dubey and colleagues (2026) report amoxicillin-clavulanate against </w:t>
      </w:r>
      <w:r>
        <w:rPr>
          <w:i/>
        </w:rPr>
        <w:t>Escherichia coli</w:t>
      </w:r>
      <w:r>
        <w:t xml:space="preserve"> in a hollow-fibre system (10, 11). Their Methods state 100 µL plated with counts per mL, so </w:t>
      </w:r>
      <w:r>
        <w:rPr>
          <w:i/>
        </w:rPr>
        <w:t>L</w:t>
      </w:r>
      <w:r>
        <w:t xml:space="preserve"> = 10 CFU/mL is derived rather than inferred, and the file corroborates the derivation: all 229 genuine counts are multiples of ten, the smallest exactly ten, while 69 further entries read as one, which no 100 µL plate can produce and which are the deposit's placeholder for below the floor.</w:t>
      </w:r>
    </w:p>
    <w:p>
      <w:r>
        <w:t>Across the 20 cultures with a measured day-zero density, headroom runs from 4.85 to 5.45 log10 (Table S7). Endpoints at 1, 2, 3 and 4 logs are reachable for every culture; a 5-log endpoint is unreachable for 5 of 20, a 6-log endpoint for all 20. On data it was not built from, the framework locates the depth at which a sterilisation claim stops being demonstrable.</w:t>
      </w:r>
    </w:p>
    <w:p>
      <w:r>
        <w:t xml:space="preserve">Two features of that deposit are the failure modes this framework is meant to catch. Its Methods give a nominal inoculum of 10⁵ CFU/mL while the file measures a median of 1.215 × 10⁶, so taking </w:t>
      </w:r>
      <w:r>
        <w:rPr>
          <w:i/>
        </w:rPr>
        <w:t>N₀</w:t>
      </w:r>
      <w:r>
        <w:t xml:space="preserve"> from the Methods rather than the data would have placed a full order of magnitude into every boundary. And its treated arm reads at or below the floor already at day zero while the paired control reads about 10⁶; the file cannot distinguish a sample drawn after exposure from a placeholder or a transcription error, so the reading is flagged rather than treated as a measured time zero.</w:t>
      </w:r>
    </w:p>
    <w:p>
      <w:pPr>
        <w:spacing w:before="240"/>
      </w:pPr>
      <w:r>
        <w:rPr>
          <w:b/>
          <w:sz w:val="22"/>
        </w:rPr>
        <w:t>7. A second distortion in M. tuberculosis: bacilli invisible to culture, not just below the floor</w:t>
      </w:r>
    </w:p>
    <w:p>
      <w:r>
        <w:t>Everything above is about the floor. One published observation in this organism shows that the floor is not the only reason a colony count understates the population, and the two failures must not be confused.</w:t>
      </w:r>
    </w:p>
    <w:p>
      <w:r>
        <w:t>Evangelopoulos and colleagues counted the same mouse lungs three ways, colony count, a molecular bacterial load from 16S rRNA, and a most probable number, on their way to a different question (12). Under the deepest regimens the colony count reads zero in every animal: in three arms, 18 lungs in all, the plate declared every lung sterile while the most probable number on that same tissue ran from 1,450 to 18,700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For censoring to explain a plate reading of zero against 1,450 organisms in the same tissue, the colony count's floor would have to sit above 1,450 per lung, far less of the homogenate than any lung protocol plates. This is differential culturability, a described phenotype of </w:t>
      </w:r>
      <w:r>
        <w:rPr>
          <w:i/>
        </w:rPr>
        <w:t>M. tuberculosis</w:t>
      </w:r>
      <w:r>
        <w:t xml:space="preserve"> with a literature of its own: resuscitation-promoting-factor-dependent bacilli dominate pre-treatment sputum and rise during chemotherapy (13), both dependent and independent differentially culturable populations are recovered from patients whose solid-medium cultures return nothing (14), and the mechanism has been reproduced experimentally, rifamycin action on ribonucleic acid (RNA) polymerase converting a starved population to over 90 per cent differentially detectable in vitro (15), the same drug class every arm of the Evangelopoulos regimen carries.</w:t>
      </w:r>
    </w:p>
    <w:p>
      <w:r>
        <w:t>Reachability and identifiability are arithmetic on the plated volume; they would hold in an assay with perfect culturability. Differential culturability is biology, acts on the numerator rather than the floor, and nothing here derives or measures it. Neither depends on the other, and they push the same way: a count that is both floored and culture-selective understates the surviving population twice over, and the mouse model that decides which regimens enter clinical trials reads out in colony counts, in exactly this region.</w:t>
      </w:r>
    </w:p>
    <w:p>
      <w:r>
        <w:t xml:space="preserve">That deposit establishes no floor of its own. Five further </w:t>
      </w:r>
      <w:r>
        <w:rPr>
          <w:i/>
        </w:rPr>
        <w:t>M. tuberculosis</w:t>
      </w:r>
      <w:r>
        <w:t xml:space="preserve"> deposits in the same screen do, and they are not reassuring.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S8); one could not have shown four logs in a single one of its 123 series. None of these five carries the analysis above, and none is among the five deposits reanalysed in this paper; they say the reachability problem is not a property of one clinical panel.</w:t>
      </w:r>
    </w:p>
    <w:p>
      <w:pPr>
        <w:spacing w:before="240"/>
      </w:pPr>
      <w:r>
        <w:rPr>
          <w:b/>
          <w:sz w:val="22"/>
        </w:rPr>
        <w:t>8. A prospective E. coli experiment confirms the floor artifact: one culture, two plated volumes, two conflicting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with its predictions written down before a plate was counted. </w:t>
      </w:r>
      <w:r>
        <w:rPr>
          <w:i/>
        </w:rPr>
        <w:t>Escherichia coli</w:t>
      </w:r>
      <w:r>
        <w:t xml:space="preserve"> ATCC 25922, the reference strain the standard names for quality control, against ciprofloxacin at ten times the concentration that stops it growing. Three seeding densities, two plated volumes, three flasks each, 216 plate readings.</w:t>
      </w:r>
    </w:p>
    <w:p>
      <w:r>
        <w:t xml:space="preserve">The middle arm was seeded on purpose at the 5 × 10⁵ per mL the standard specifies. The densities actually reached were 6.4 × 10⁴, 4.4 × 10⁵ and 3.8 × 10⁶ per mL as arm means, but </w:t>
      </w:r>
      <w:r>
        <w:rPr>
          <w:i/>
        </w:rPr>
        <w:t>N</w:t>
      </w:r>
      <w:r>
        <w:t xml:space="preserve">₀ is a measurement made once per culture rather than a setting the protocol supplies, so headroom belongs to a flask and everything below is reported per flask. At the 100 µL plating the low arm's three flasks have 4.19, 4.11 and 4.00 logs of headroom, the last exactly at the four-log endpoint. </w:t>
      </w:r>
      <w:r>
        <w:rPr>
          <w:b/>
        </w:rPr>
        <w:t>At the standard inoculum plated at 10 µL, the deepest reduction the three flasks could report ran from 3.71 to 3.93 logs</w:t>
      </w:r>
      <w:r>
        <w:t>, while those same three cultures plated at 100 µL ran from 4.88 to 5.05 (Fig. S5B, Table S9). Every flask is paired with itself across the two platings.</w:t>
      </w:r>
    </w:p>
    <w:p>
      <w:r>
        <w:t xml:space="preserve">That much is arithmetic.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so they can fall either side of a class threshold and give one culture two labels. </w:t>
      </w:r>
      <w:r>
        <w:rPr>
          <w:b/>
        </w:rPr>
        <w:t>The quantity that could have come out zero is how often a real experiment lands in the window where those two fractions straddle the cut</w:t>
      </w:r>
      <w:r>
        <w:t xml:space="preserve">, and it depends on where the cut is (Fig. S5C, Table S10). Put the cut at one per cent and the window is nearly shut. Put it at one in a thousand, where the clinical classification above cuts its lowest class, and six of 54 sample-times receive two different labels from one culture, one in nine. That cut is imported from the tuberculosis classification; it serves here as a ruler for the window's width, not a claim about </w:t>
      </w:r>
      <w:r>
        <w:rPr>
          <w:i/>
        </w:rPr>
        <w:t>E. coli</w:t>
      </w:r>
      <w:r>
        <w:t xml:space="preserve">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and this is the paper's sharpest finding rather than an awkwardness for it. M26-A's own section 1.3.2.5, </w:t>
      </w:r>
      <w:r>
        <w:rPr>
          <w:i/>
        </w:rPr>
        <w:t>Volume Transferred</w:t>
      </w:r>
      <w:r>
        <w:t>, ties the volume to the endpoint with a counting rule: after the defined 99.9 per cent killing, at least ten colonies must remain (16)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not manufacture it. But the experiment cannot exclude carryover, and a repetition should include the control that would.</w:t>
      </w:r>
    </w:p>
    <w:p>
      <w:r>
        <w:t>Several further limitations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S6): twenty survive unchanged, six survive with much wider uncertainty, five do not survive and </w:t>
      </w:r>
      <w:r>
        <w:rPr>
          <w:b/>
        </w:rPr>
        <w:t>have already been removed from the text above</w:t>
      </w:r>
      <w:r>
        <w:t>, and one is withdrawn because the null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230,000 per mL. Seeding higher also changes the experiment, because a denser culture is a different physiological state, and physiological state is what the tolerance label tracks, so where the deep endpoint is wanted, lower the assay floor instead;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resistant against susceptible isolates,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ASTM International (the American Society for Testing and Materials) guide E2315 sets out how to run and report a time-kill procedure in general (organism, media, neutralisation, raw counts)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S11),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A screen of 78 time-kill datasets for M. tuberculosis and E. coli assay floors</w:t>
      </w:r>
    </w:p>
    <w:p>
      <w:r>
        <w:t xml:space="preserve">This study combined mathematical derivation, analysis of five public datasets, and a prospective </w:t>
      </w:r>
      <w:r>
        <w:rPr>
          <w:i/>
        </w:rPr>
        <w:t>Escherichia coli</w:t>
      </w:r>
      <w:r>
        <w:t xml:space="preserve"> experiment to examine how assay floors constrain antibiotic-tolerance endpoints.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deposits carried enough information to compute both boundaries at all, and five carried the complete set of fields the full analysis requires (Table 3, Figure S4). The full pipeline, from this screen through the prospective test of both boundaries, is summarised in Figure S6.</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(21).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(8, 9).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(22).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(23, 24).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(25, 26).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(10, 11). It was the only deposit found carrying all three fields the boundaries require, and no boundary, threshold or modelling choice in this paper was informed by it; it is used nowhere else in the paper except to confirm them (Section 6).</w:t>
      </w:r>
    </w:p>
    <w:p>
      <w:r>
        <w:t>Each dataset's organism, drug, design and licence is summarised in Table 1; the complete screening manifest and exclusion reasons accompany the analysis code.</w:t>
      </w:r>
    </w:p>
    <w:p>
      <w:pPr>
        <w:spacing w:before="240"/>
      </w:pPr>
      <w:r>
        <w:rPr>
          <w:b/>
          <w:sz w:val="22"/>
        </w:rPr>
        <w:t>Prospective E. coli experiment designed to test the floor artifact</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(16, 27). The ciprofloxacin MIC, determined by CLSI reference broth microdilution (27, 28), was 0.008 mg/L, within the CLSI quality-control range for this strain (28);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Where rifampicin tolerance readings are censored by the assay floor</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S12).</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S13).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S14). Each below-limit flag in the six-laboratory deposit is judged against its own plated volume's floor rather than pooled to the least sensitive volume, since pooling would discard genuine quantified counts a more sensitive plating of the same sample recorded (Table S12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S15):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S11). The refusal holds across both well designs, both floor readings and two priors.</w:t>
      </w:r>
    </w:p>
    <w:p>
      <w:pPr>
        <w:spacing w:before="240"/>
      </w:pPr>
      <w:r>
        <w:rPr>
          <w:b/>
          <w:sz w:val="22"/>
        </w:rPr>
        <w:t>Two boundaries that predict which rifampicin tolerance calls are unreliable</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₁) makes both failure modes impossible before an experiment runs.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(29); a censored reading contributes log Φ((limit − µ)/σ), the probability it fell below its own limit (Beal's M3 written for this assay (30)). As a computational consistency check, 50 imputed datasets were generated from the fitted truncated-normal distribution, analysed by ordinary least squares, and pooled using Rubin's rules (31); both procedures share the same distributional assumptions, and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(32), with starting density as a prespecified covariate; proportional odds was tested by a Brant test per predictor (33) and a likelihood-ratio test against a generalised ordered logit (34), with the partial-proportional-odds fit reported where it fails and checked against a multinomial fit assuming no ordering (Table S16).</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(35) are reported alongside Kaplan–Meier (36) and Cox proportional hazards (37) as descriptive summaries, with cluster bootstraps over laboratories and flasks (38) in place of the partial likelihood's independence assumption, and proportionality tested on Schoenfeld residuals (39, 40).</w:t>
      </w:r>
    </w:p>
    <w:p>
      <w:r>
        <w:rPr>
          <w:b/>
        </w:rPr>
        <w:t>The replicate-level bootstrap</w:t>
      </w:r>
      <w:r>
        <w:t xml:space="preserve"> (41) behind interval slopes resamples the three replicate counts with replacement, takes their mean, refits the concentration slope on each draw, and takes percentile intervals from 20,000 draws, reported instead of the least-squares fit through the deposited concentration means, which has two residual degrees of freedom and discards the replicate scatter. An interval on a proportion is the Jeffreys interval (42), which does not collapse to zero width at the sample sizes here.</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(43, 44),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S3):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(45)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(46), scipy 1.18.0 (47), pandas 3.0.3 (48), statsmodels 0.15.0 (49) and lifelines 0.30.3 (50).</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(21, 51), van Wijk and colleagues (8, 9), Windels and colleagues (23, 24), Kaur and colleagues (25, 26), and the hollow-fibre Source Data of Dubey and colleagues (10, 11),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(52),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5433e8e+ of it.</w:t>
      </w:r>
    </w:p>
    <w:p>
      <w:pPr>
        <w:spacing w:before="240"/>
      </w:pPr>
      <w:r>
        <w:rPr>
          <w:b/>
          <w:sz w:val="22"/>
        </w:rPr>
        <w:t>Declaration of computational 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9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Mann HB, Whitney DR. 1947. On a test of whether one of two random variables is stochastically larger than the other. Ann Math Stat 18:50-60. https://doi.org/10.1214/aoms/1177730491.</w:t>
      </w:r>
    </w:p>
    <w:p>
      <w:r>
        <w:t xml:space="preserve">8.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9.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10.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11.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12.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13. Mukamolova GV, Turapov O, Malkin J, Woltmann G, Barer MR. 2010. Resuscitation-promoting factors reveal an occult population of tubercle bacilli in sputum. Am J Respir Crit Care Med 181:174-180. https://doi.org/10.1164/rccm.200905-0661OC.</w:t>
      </w:r>
    </w:p>
    <w:p>
      <w:r>
        <w:t>14.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15.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20. ASTM International. 2023. E2315-23: Standard Guide for Assessment of Antimicrobial Activity Using a Time-Kill Procedure. ASTM International, West Conshohocken, PA. https://doi.org/10.1520/E2315-23.</w:t>
      </w:r>
    </w:p>
    <w:p>
      <w:r>
        <w:t xml:space="preserve">21.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22.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24.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26. Kaur P. 2024. Apramycin kills replicating and non-replicating </w:t>
      </w:r>
      <w:r>
        <w:rPr>
          <w:i/>
        </w:rPr>
        <w:t>Mycobacterium tuberculosis</w:t>
      </w:r>
      <w:r>
        <w:t xml:space="preserve"> — raw data. figshare. https://doi.org/10.6084/m9.figshare.26462791.v1.</w:t>
      </w:r>
    </w:p>
    <w:p>
      <w:r>
        <w:t>27. Clinical and Laboratory Standards Institute. 2024. Methods for dilution antimicrobial susceptibility tests for bacteria that grow aerobically, 12th ed. CLSI standard M07. Clinical and Laboratory Standards Institute, Wayne, PA.</w:t>
      </w:r>
    </w:p>
    <w:p>
      <w:r>
        <w:t>28. Clinical and Laboratory Standards Institute. 2026. Performance standards for antimicrobial susceptibility testing, 36th ed. CLSI supplement M100. Clinical and Laboratory Standards Institute, Wayne, PA.</w:t>
      </w:r>
    </w:p>
    <w:p>
      <w:r>
        <w:t>29. Tobin J. 1958. Estimation of relationships for limited dependent variables. Econometrica 26:24. https://doi.org/10.2307/1907382.</w:t>
      </w:r>
    </w:p>
    <w:p>
      <w:r>
        <w:t>30. Beal SL. 2001. Ways to fit a PK model with some data below the quantification limit. J Pharmacokinet Pharmacodyn 28:481-504. https://doi.org/10.1023/A:1012299115260.</w:t>
      </w:r>
    </w:p>
    <w:p>
      <w:r>
        <w:t>31. Rubin DB. 1987. Multiple imputation for nonresponse in surveys. John Wiley &amp; Sons, New York, NY. https://doi.org/10.1002/9780470316696.</w:t>
      </w:r>
    </w:p>
    <w:p>
      <w:r>
        <w:t>32. McCullagh P. 1980. Regression models for ordinal data. J R Stat Soc Series B Stat Methodol 42:109-127. https://doi.org/10.1111/j.2517-6161.1980.tb01109.x.</w:t>
      </w:r>
    </w:p>
    <w:p>
      <w:r>
        <w:t>33. Brant R. 1990. Assessing proportionality in the proportional odds model for ordinal logistic regression. Biometrics 46:1171-1178.</w:t>
      </w:r>
    </w:p>
    <w:p>
      <w:r>
        <w:t>34. Peterson B, Harrell FE Jr. 1990. Partial proportional odds models for ordinal response variables. J R Stat Soc Ser C Appl Stat 39:205. https://doi.org/10.2307/2347760.</w:t>
      </w:r>
    </w:p>
    <w:p>
      <w:r>
        <w:t>35. Turnbull BW. 1976. The empirical distribution function with arbitrarily grouped, censored and truncated data. J R Stat Soc Series B Stat Methodol 38:290-295. https://doi.org/10.1111/j.2517-6161.1976.tb01597.x.</w:t>
      </w:r>
    </w:p>
    <w:p>
      <w:r>
        <w:t>36. Kaplan EL, Meier P. 1958. Nonparametric estimation from incomplete observations. J Am Stat Assoc 53:457-481. https://doi.org/10.1080/01621459.1958.10501452.</w:t>
      </w:r>
    </w:p>
    <w:p>
      <w:r>
        <w:t>37. Cox DR. 1972. Regression models and life-tables. J R Stat Soc Series B Stat Methodol 34:187-202. https://doi.org/10.1111/j.2517-6161.1972.tb00899.x.</w:t>
      </w:r>
    </w:p>
    <w:p>
      <w:r>
        <w:t>38. Field CA, Welsh AH. 2007. Bootstrapping clustered data. J R Stat Soc Series B Stat Methodol 69:369-390. https://doi.org/10.1111/j.1467-9868.2007.00593.x.</w:t>
      </w:r>
    </w:p>
    <w:p>
      <w:r>
        <w:t>39. Schoenfeld D. 1982. Partial residuals for the proportional hazards regression model. Biometrika 69:239-241. https://doi.org/10.1093/biomet/69.1.239.</w:t>
      </w:r>
    </w:p>
    <w:p>
      <w:r>
        <w:t>40. Grambsch PM, Therneau TM. 1994. Proportional hazards tests and diagnostics based on weighted residuals. Biometrika 81:515-526. https://doi.org/10.1093/biomet/81.3.515.</w:t>
      </w:r>
    </w:p>
    <w:p>
      <w:r>
        <w:t>41. Efron B. 1979. Bootstrap methods: another look at the jackknife. Ann Stat 7:1-26. https://doi.org/10.1214/aos/1176344552.</w:t>
      </w:r>
    </w:p>
    <w:p>
      <w:r>
        <w:t>42. Brown LD, Cai TT, DasGupta A. 2001. Interval estimation for a binomial proportion. Stat Sci 16:101-133. https://doi.org/10.1214/ss/1009213286.</w:t>
      </w:r>
    </w:p>
    <w:p>
      <w:r>
        <w:t>43. Imai K, Keele L, Yamamoto T. 2010. Identification, inference and sensitivity analysis for causal mediation effects. Stat Sci 25:51-71. https://doi.org/10.1214/10-STS321.</w:t>
      </w:r>
    </w:p>
    <w:p>
      <w:r>
        <w:t>44. Baron RM, Kenny DA. 1986. The moderator-mediator variable distinction in social psychological research: conceptual, strategic, and statistical considerations. J Pers Soc Psychol 51:1173-1182. https://doi.org/10.1037/0022-3514.51.6.1173.</w:t>
      </w:r>
    </w:p>
    <w:p>
      <w:r>
        <w:t>45. Benjamini Y, Hochberg Y. 1995. Controlling the false discovery rate: a practical and powerful approach to multiple testing. J R Stat Soc Series B Stat Methodol 57:289-300. https://doi.org/10.1111/j.2517-6161.1995.tb02031.x.</w:t>
      </w:r>
    </w:p>
    <w:p>
      <w:r>
        <w:t>46.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47.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48. McKinney W. 2010. Data structures for statistical computing in Python. Proceedings of the 9th Python in Science Conference 56-61. https://doi.org/10.25080/Majora-92bf1922-00a.</w:t>
      </w:r>
    </w:p>
    <w:p>
      <w:r>
        <w:t>49. Seabold S, Perktold J. 2010. Statsmodels: econometric and statistical modeling with Python. Proceedings of the 9th Python in Science Conference 92-96. https://doi.org/10.25080/Majora-92bf1922-011.</w:t>
      </w:r>
    </w:p>
    <w:p>
      <w:r>
        <w:t>50. Davidson-Pilon C. 2019. lifelines: survival analysis in Python. J Open Source Softw 4:1317. https://doi.org/10.21105/joss.01317.</w:t>
      </w:r>
    </w:p>
    <w:p>
      <w:r>
        <w:t xml:space="preserve">51.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52. Piranfar V. 2026. Analysis code, audit scripts and headroom tool for "Rifampicin tolerance classification is bounded by assay detection floor among clinical Mycobacterium tuberculosis isolates".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