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The detection floor bounds tolerance endpoints in </w:t>
      </w:r>
      <w:r>
        <w:rPr>
          <w:b/>
          <w:i/>
          <w:sz w:val="28"/>
        </w:rPr>
        <w:t>Mycobacterium tuberculosis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5 | </w:t>
      </w:r>
      <w:r>
        <w:rPr>
          <w:b/>
        </w:rPr>
        <w:t>Supplemental tables:</w:t>
      </w:r>
      <w:r>
        <w:t xml:space="preserve"> 26</w:t>
      </w:r>
    </w:p>
    <w:p>
      <w:pPr>
        <w:spacing w:before="240"/>
      </w:pPr>
      <w:r>
        <w:rPr>
          <w:b/>
          <w:sz w:val="24"/>
        </w:rPr>
        <w:t>Abstract</w:t>
      </w:r>
    </w:p>
    <w:p>
      <w:r>
        <w:t>A culture that grows nothing after antibiotic exposure has never proved sterility, so tolerance is scored by how far the count fell: the minimum duration for killing, a fraction meant to cancel the starting count out. It stops cancelling once killing reaches the assay's lowest reportable density, because the recorded fraction is then the floor over starting density, and the drug has dropped out.</w:t>
      </w:r>
    </w:p>
    <w:p>
      <w:r>
        <w:t xml:space="preserve">Two boundaries follow from the definitions alone. For an assay floor </w:t>
      </w:r>
      <w:r>
        <w:rPr>
          <w:i/>
        </w:rPr>
        <w:t>L</w:t>
      </w:r>
      <w:r>
        <w:t xml:space="preserve">, a </w:t>
      </w:r>
      <w:r>
        <w:rPr>
          <w:i/>
        </w:rPr>
        <w:t>q</w:t>
      </w:r>
      <w:r>
        <w:t xml:space="preserve">-log endpoint is observable only above </w:t>
      </w:r>
      <w:r>
        <w:rPr>
          <w:i/>
        </w:rPr>
        <w:t>L</w:t>
      </w:r>
      <w:r>
        <w:t>·10^</w:t>
      </w:r>
      <w:r>
        <w:rPr>
          <w:i/>
        </w:rPr>
        <w:t>q</w:t>
      </w:r>
      <w:r>
        <w:t xml:space="preserve">, the reachability boundary. Above </w:t>
      </w:r>
      <w:r>
        <w:rPr>
          <w:i/>
        </w:rPr>
        <w:t>L</w:t>
      </w:r>
      <w:r>
        <w:t>/</w:t>
      </w:r>
      <w:r>
        <w:rPr>
          <w:i/>
        </w:rPr>
        <w:t>c</w:t>
      </w:r>
      <w:r>
        <w:t xml:space="preserve">₁, with </w:t>
      </w:r>
      <w:r>
        <w:rPr>
          <w:i/>
        </w:rPr>
        <w:t>c</w:t>
      </w:r>
      <w:r>
        <w:t>₁ the lowest class threshold, a floor-level reading is compatible only with the lowest tolerance class, whatever the drug did: the identifiability boundary.</w:t>
      </w:r>
    </w:p>
    <w:p>
      <w:r>
        <w:t>Of 78 time-kill datasets assembled and 45 inspected in full, 32 of 40 distinct deposits state no assay floor. Five are reanalysed here and one experiment tests both boundaries forward.</w:t>
      </w:r>
    </w:p>
    <w:p>
      <w:r>
        <w:t xml:space="preserve">Of 217 </w:t>
      </w:r>
      <w:r>
        <w:rPr>
          <w:i/>
        </w:rPr>
        <w:t>Mycobacterium tuberculosis</w:t>
      </w:r>
      <w:r>
        <w:t xml:space="preserve"> isolates classified for rifampicin tolerance, 33 lacked headroom for the 99.99 per cent reduction the classification is cut on, and all failed to reach it. Eighteen ended on the floor: twelve admit one class, six admit two. The label tracks growth rate and, via a ten-fold lower starting density, isoniazid resistance.</w:t>
      </w:r>
    </w:p>
    <w:p>
      <w:r>
        <w:rPr>
          <w:i/>
        </w:rPr>
        <w:t>Escherichia coli</w:t>
      </w:r>
      <w:r>
        <w:t xml:space="preserve"> ATCC 25922 reported 3.71 to 3.93 logs at 10 µL and 4.88 to 5.05 at 100 µL in the same cultures; at a 10⁻³ cut, six of 54 sample-times took two labels from one culture, plated volume deciding. A call without its starting density and assay floor cannot be interpreted.</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 grow the organism, add the drug, and at set times dilute a sample, spread it on a plate, and count the colonies, each standing for one bacterium alive when it was plated —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 90, 99 or 99.99 per cent —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xml:space="preserve"> —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 the assay stopped looking —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 one deciding whether an endpoint is reachable, the other whether a floor-level reading identifies a class — and both are computed from quantities a time-kill protocol already records. Neither asks a laboratory to measure anything new.</w:t>
      </w:r>
    </w:p>
    <w:p>
      <w:r>
        <w:t xml:space="preserve">Answering that question at all requires deposits that record the three quantities the arithmetic needs — a starting density measured before treatment, a time series, and either a plated volume or a stated floor —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 3.36 to 7.79 log10 —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 15.2 per cent —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 they sit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 colony count, a molecular bacterial load from 16S rRNA, and a most probable number —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both resuscitation-promoting-factor-dependent and -independent differentially culturable populations are recovered from patients whose solid-medium cultures return nothing (9), and the mechanism has been reproduced experimentally: rifamycin action on RNA polymerase, independent of any assay's floor, converts a starved population to over 90 per cent differentially detectable in vitro (10) — the same drug class every arm of the Evangelopoulos regimen carries.</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 sputum from pulmonary tuberculosis, axenic culture, an auxotrophic H37Rv panel and two drug-development series, with floors from 13 to 200 CFU/mL —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xml:space="preserve"> —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under an assumption this deposit cannot test on its own — that starting density sits on the causal path as a mediator here rather than beside it as a confounder. The reverse reading is equally available a priori: if slow growth both thins the inoculum and causes genuine tolerance, adjusting for starting density would remove real signal rather than a confounder, not attenuate a spurious one (Discussion weighs the two readings against each other). The mediation decomposition under the mediator reading is Table S6. What is not in question, whichever reading is right, is that the association weakens once starting density enters the model: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(11),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(12, 13). It does.</w:t>
      </w:r>
    </w:p>
    <w:p>
      <w:r>
        <w:t>At ten times the minimum inhibitory concentration of moxifloxacin all six laboratories return a positive kill rate, and the rates span 5.2-fold, from 0.090 to 0.464 log10 CFU/mL per day. Across all 30 laboratory-by-arm cells the Tobit estimate — a fit that treats a below-floor reading as below the floor rather than as a number —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(14, 15).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 the starting densities that decide whether an endpoint is reachable and a label means anything — with its predictions written down before a plate was counted. </w:t>
      </w:r>
      <w:r>
        <w:rPr>
          <w:i/>
        </w:rPr>
        <w:t>Escherichia coli</w:t>
      </w:r>
      <w:r>
        <w:t xml:space="preserve"> ATCC 25922, of the American Type Culture Collection — the reference strain the standard names for quality control —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 each flask's own ceiling, not the drug's</w:t>
      </w:r>
      <w:r>
        <w:t xml:space="preserve"> —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 two different floors over one starting density —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(16) —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 that one regimen sterilises faster than another, that a patient's isolates are becoming more tolerant over therapy —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 resistant against susceptible isolates —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the ASTM International (American Society for Testing and Materials) guide E2315 sets out how to run and report a time-kill procedure in general — organism, media, neutralisation, raw counts —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The corpus screened, and how five deposits came out of it</w:t>
      </w:r>
    </w:p>
    <w:p>
      <w:r>
        <w:t>The five deposits analysed here are the residue of a larger screen, and the attrition is itself a result. A corpus of 78 candidate time-kill datasets was assembled from the published literature between 21 August and 8 September 2026, of which 45 were inspected one record at a time, each inspected entry annotated with what its source actually states about the three quantities this paper's arithmetic needs: a pre-treatment starting density, a time series of counts, and either a plated volume or a stated assay floor. The manifest, with every candidate's identifier, licence and per-field verdict, is deposited with the analysis code, so the screen can be audited rather than taken on trust.</w:t>
      </w:r>
    </w:p>
    <w:p>
      <w:r>
        <w:t xml:space="preserve">Of the 78, two were identified as duplicate records and never fetched, and 31 were never opened — 19 have no ingest reader written and 12 are annotated as not established. That leaves 45 with a coverage row. Four of those 45 are duplicate fetches of records already counted, and one is this paper's own prospective experiment, which is not a screened literature deposit. </w:t>
      </w:r>
      <w:r>
        <w:rPr>
          <w:b/>
        </w:rPr>
        <w:t>Of the 40 distinct literature deposits that remain, 32 state no assay floor by any route</w:t>
      </w:r>
      <w:r>
        <w:t xml:space="preserve"> — no limit of detection, no limit of quantification, and no plated volume from which one could be derived. Eighteen deposits carry enough for reachability and identifiability to be computed at all, 17 of them published and the eighteenth this paper's own experiment; five carry the complete set of fields the analysis needs, and those five are the deposits of Table 3. The whole flow is Table S1 and Figure S4, and every count here reads off it. The remainder fail on a missing floor far more often than on anything else, which is the reporting gap this paper is about.</w:t>
      </w:r>
    </w:p>
    <w:p>
      <w:r>
        <w:rPr>
          <w:b/>
        </w:rPr>
        <w:t>What this screen is, and what it is not.</w:t>
      </w:r>
      <w:r>
        <w:t xml:space="preserve"> It is a systematic inspection of a corpus assembled from the published time-kill literature, with every candidate recorded and every exclusion attributable to a named missing field. It is </w:t>
      </w:r>
      <w:r>
        <w:rPr>
          <w:b/>
        </w:rPr>
        <w:t>not</w:t>
      </w:r>
      <w:r>
        <w:t xml:space="preserve"> a systematic review: no registered search string, database set or date-bounded inclusion protocol governs which datasets entered the corpus, so the 78 are a documented sample of the literature rather than a proven census of it. The proportions above should be read as what an investigator meets in practice, not as an estimate of the whole published record. Nothing in the paper's argument depends on the corpus being exhaustive: the boundaries are derived from definitions, and a single deposit with a floor is enough to apply them.</w:t>
      </w:r>
    </w:p>
    <w:p>
      <w:r>
        <w:t>Nor is it a prevalence estimate. Thirty-three of the 78 were never opened, and deposits were not chosen for inspection at random, so the 32 of 40 above cannot be extrapolated to them. Whether the unopened records state a floor more often or less often than the inspected ones is not knowable from this corpus, and the proportion could move either way.</w:t>
      </w:r>
    </w:p>
    <w:p>
      <w:pPr>
        <w:spacing w:before="240"/>
      </w:pPr>
      <w:r>
        <w:rPr>
          <w:b/>
          <w:sz w:val="22"/>
        </w:rPr>
        <w:t>The five deposits analysed</w:t>
      </w:r>
    </w:p>
    <w:p>
      <w:r>
        <w:t>Five published deposits are analysed (Table 3). Four carry the analysis and the fifth was analysed last, to test it. None was generated for this study and all are openly licensed. That fifth deposit was opened only after every boundary and threshold was fixed. The commit history dates that, though not where a reader would first look: the deposit and the script that tests it entered in a single commit, at 02:41 on 6 September 2026, and git cannot order two files within one commit. What dates the hold-out is where reachability and identifiability were themselves committed - the headroom tool at 00:08 and the symbolic recovery of both laws at 01:34 that morning, sixty-seven minutes before the deposit arrived - and a search of the history for later changes to those expressions returns nothing. The other four deposits were chosen for the fields they carry, and that choice is not separately registered.</w:t>
      </w:r>
    </w:p>
    <w:p>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months on treatment, and the authors' own tolerance level for each isolate (Vijay et al. 2024; eLife 93243 supplementary file 2) (21). The killing assay runs for six days, so an isolate not reaching its target within that window is recorded at the ceiling.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laboratories blinded and labelled A to F (van Wijk et al. 2023; figshare 19766083, CC BY 4.0) (12, 13). Moxifloxacin and isoniazid at one and ten times the minimum inhibitory concentration, an untreated control, three flasks per arm, sampled to day 21 or 28. Each sample was plated at four volumes: 100 µL in quadruplicate, 10 µL as four drops, 10 µL as a single drop, and 2.5 µL as a single drop. In the deposited file the colony count is already expressed per millilitre, confirmed by the smallest count recorded at each volume being exactly 1000 divided by that volume, which is one colony per millilitre. The minimum reportable positive count is therefore a property of the plated volume — one colony in that volume — and equals 1.0, 2.0, 2.0 and 2.6 log10 CFU/mL respectively, so four platings give three distinct floors spanning 1.60 log10 within a single flask-visit (22). The identity is exact for 1 055 of the 1 068 readings at 10 µL; the thirteen exceptions all come from one laboratory and do not lie on the lattice its recorded volume implies. The file holds 2 775 readings, of which 17.9 per cent are flagged below the floor and 24 above it; the analysis set, after dropping above-limit flags, unusable values and pre-treatment visits, is 2 580 readings, of which 19.3 per cent are flagged.</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measured on the same clone, labelled by the antibiotic concentration and nutrient level its population evolved under (Windels et al. 2024; Zenodo 10.5281/zenodo.7550302, CC BY 4.0) (23, 24). Six of its 595 surviving fractions are written as exact zeros, marking a below-limit reading without naming a limit; they fix no floor, so this deposit is one of the two for which observability labels are refused.</w:t>
      </w:r>
    </w:p>
    <w:p>
      <w:r>
        <w:rPr>
          <w:b/>
        </w:rPr>
        <w:t>A deposit analysed last, after the boundaries were fixed.</w:t>
      </w:r>
      <w:r>
        <w:t xml:space="preserve"> Amoxicillin-clavulanate against </w:t>
      </w:r>
      <w:r>
        <w:rPr>
          <w:i/>
        </w:rPr>
        <w:t>Escherichia coli</w:t>
      </w:r>
      <w:r>
        <w:t xml:space="preserve"> in a hollow-fibre infection model, with 100 µL plated and counts per mL so the assay floor is derived rather than inferred, measured day-zero densities for every culture rather than a nominal inoculum, and below-limit readings retained as a placeholder (Dubey et al. 2026; article Source Data, CC BY 4.0) (14, 15). It was located by a search of five general repositories, the tuberculosis consortia, the persistence literature, food microbiology and the hollow-fibre field, and was the only deposit found carrying all three fields the boundaries require. No boundary, threshold or modelling choice in this paper was informed by it: it was opened after all of them were fixed, and Section 7 is the only place it tests anything. What cannot be documented is the search itself. The repositories were searched interactively and no query log, access date or screening count was kept, so this paper reports the outcome of that search — one deposit carrying a measured per-culture starting density, a recorded plated volume and per-culture time-course counts together — without being able to evidence its extent. The claim that no deposit was selected after its result was known rests on the commit history of this repository rather than on a registration, and readers should weigh it accordingly, checking where reachability and identifiability were committed rather than where the deposit arrived, for the reason given above. The deposit had been public since the article describing it appeared on 13 June 2026, three months before it was opened here, so nothing outside this repository's own history evidences that it was not consulted sooner. That is an attestation, not a pre-registration, and it is weaker evidence than a frozen analysis plan deposited before the fact would have been. It does appear descriptively — a row of its own in Tables 2, 5, 9, 15, S5 and S7, and a table of its own in Table S9 — which is reporting rather than fitting.</w:t>
      </w:r>
    </w:p>
    <w:p>
      <w:r>
        <w:rPr>
          <w:b/>
        </w:rPr>
        <w:t>Concentration-by-time grid.</w:t>
      </w:r>
      <w:r>
        <w:t xml:space="preserve"> Apramycin and amikacin against </w:t>
      </w:r>
      <w:r>
        <w:rPr>
          <w:i/>
        </w:rPr>
        <w:t>M. tuberculosis</w:t>
      </w:r>
      <w:r>
        <w:t xml:space="preserve"> at 128, 32, 8, 4 and 1 µg/mL, triplicate log10 CFU at days 0, 3, 7 and 14, with a concurrent drug-free control at every visit (Kaur et al. 2024; figshare 26462791, CC BY 4.0) (25, 26). The amikacin arms are not analysed here. Within apramycin the 1 µg/mL arm shows net growth rather than killing and is excluded from the dose comparison, leaving 4 to 128 µg/mL as the range compared (Text S3).</w:t>
      </w:r>
    </w:p>
    <w:p>
      <w:pPr>
        <w:spacing w:before="240"/>
      </w:pPr>
      <w:r>
        <w:rPr>
          <w:b/>
          <w:sz w:val="22"/>
        </w:rPr>
        <w:t>The prospective experiment</w:t>
      </w:r>
    </w:p>
    <w:p>
      <w:r>
        <w:t>The two boundaries were used to design an experiment against themselves. Its design sheet, its predictions and its plate counts are one workbook, deposited with the analysis code, and the predictions were written on the design sheet before any plate was counted.</w:t>
      </w:r>
    </w:p>
    <w:p>
      <w:r>
        <w:rPr>
          <w:b/>
        </w:rPr>
        <w:t>Strain, media and incubation.</w:t>
      </w:r>
      <w:r>
        <w:t xml:space="preserve"> </w:t>
      </w:r>
      <w:r>
        <w:rPr>
          <w:i/>
        </w:rPr>
        <w:t>Escherichia coli</w:t>
      </w:r>
      <w:r>
        <w:t xml:space="preserve"> ATCC 25922, the quality-control reference strain the standard itself names. Broth and agar were Mueller–Hinton (HiMedia): cation-adjusted Mueller–Hinton broth for the minimum inhibitory concentration and the exposure, Mueller–Hinton agar for the viable counts. Cultures, the microdilution plates and the count plates were incubated at 35 ± 2 °C in ambient air, the reference conditions CLSI specifies for this organism, count plates being read after 18 to 24 h (16, 27).</w:t>
      </w:r>
    </w:p>
    <w:p>
      <w:r>
        <w:rPr>
          <w:b/>
        </w:rPr>
        <w:t>Minimum inhibitory concentration.</w:t>
      </w:r>
      <w:r>
        <w:t xml:space="preserve"> The ciprofloxacin MIC of the strain was determined by CLSI reference broth microdilution (27, 28): ciprofloxacin doubling-diluted in cation-adjusted Mueller–Hinton broth, a final inoculum of about 5 × 10⁵ CFU/mL, incubation at 35 ± 2 °C for 16 to 20 h in ambient air, and the MIC read as the lowest concentration with no visible growth, with growth, sterility and quality-control wells alongside as CLSI directs. The MIC was 0.008 mg/L, which falls within the CLSI quality-control range for this strain (28), and the exposure was set at ten times it, 0.08 mg/L.</w:t>
      </w:r>
    </w:p>
    <w:p>
      <w:r>
        <w:rPr>
          <w:b/>
        </w:rPr>
        <w:t>Drug and design.</w:t>
      </w:r>
      <w:r>
        <w:t xml:space="preserve"> Ciprofloxacin at ten times the MIC, 0.08 mg/L — chosen because it kills deeply and fast, so every arm reaches the floor inside a working day, which is what reachability and identifiability need in order to be testable at all. Three seeding arms were chosen so that the four-log endpoint is unreachable in one, marginal in the second and comfortable in the third: targets 5 × 10⁴, 5 × 10⁵ and 5 × 10⁶ CFU/mL, the middle arm being the inoculum the standard specifies. The densities actually reached were 6.4 × 10⁴, 4.4 × 10⁵ and 3.8 × 10⁶ per mL, recomputed from the day-zero counts rather than assumed from the targets. Three flasks per arm, nine in all, treated throughout as three independent biological replicates per arm; a drug-free growth control was carried in parallel. Sampling at 0, 1, 2, 4, 6 and 24 h; hour zero is not a convenience but the measurement of </w:t>
      </w:r>
      <w:r>
        <w:rPr>
          <w:i/>
        </w:rPr>
        <w:t>N</w:t>
      </w:r>
      <w:r>
        <w:t>₀ on which every boundary rests.</w:t>
      </w:r>
    </w:p>
    <w:p>
      <w:r>
        <w:rPr>
          <w:b/>
        </w:rPr>
        <w:t>Plating and enumeration.</w:t>
      </w:r>
      <w:r>
        <w:t xml:space="preserve"> At each time a sample was serially ten-fold diluted in sterile saline, and from one dilution series both 100 µL and 10 µL were plated, each in duplicate, across dilutions from neat to 10⁻⁴. Nine flasks × six times × two volumes × two plates is 216 plate readings, which is the whole dataset.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rPr>
          <w:b/>
        </w:rPr>
        <w:t>Drug carryover, and what was not done about it.</w:t>
      </w:r>
      <w:r>
        <w:t xml:space="preserve"> No washing, filtration, enzymatic inactivation or activated-charcoal step was used, and no carryover control was run. The only thing standing between the drug in the sample and the colonies on the plate is dilution, and at the shallow dilutions — neat and 10⁻¹ — that is the whole of it. This matters here more than it would in most time-kill work, because the shallow dilutions are exactly the ones in use once a culture approaches its floor, which is the regime the whole paper is about. Ciprofloxacin carried onto an agar plate at 0.08 mg/L is diluted by more than the ten-fold it would take to bring it below this strain's measured MIC of 0.008 mg/L, since 100 µL is spread into far more than 1 mL of agar; but sub-inhibitory carryover can still suppress colony formation, and nothing here rules that out. What can be said is the direction. The 100 µL plating carries ten times as much drug onto the plate as the 10 µL plating of the same sample, so any carryover effect works against the depth advantage the 100 µL plating is reported to have, and the paired comparison in Section 8 is conservative with respect to it. A carryover control belongs in any repetition of this experiment.</w:t>
      </w:r>
    </w:p>
    <w:p>
      <w:r>
        <w:rPr>
          <w:b/>
        </w:rPr>
        <w:t>The floor, and why duplicate plating moves it.</w:t>
      </w:r>
      <w:r>
        <w:t xml:space="preserve"> </w:t>
      </w:r>
      <w:r>
        <w:rPr>
          <w:i/>
        </w:rPr>
        <w:t>L</w:t>
      </w:r>
      <w:r>
        <w:t xml:space="preserve"> is one colony in the volume actually plated, referred back to the undiluted sample: at a single plate 10 CFU/mL at 100 µL and 100 CFU/mL at 10 µL. The two technical plates of a sample are pooled rather than averaged, so their volumes add — two 100 µL plates read together are 200 µL of sample, so one colony across the pair is 5 CFU/mL and not 10, and the 10 µL pair gives 50. Pooling therefore lowers the floor, and the two platings differ by exactly one log by construction. An earlier version of the analysis averaged the two plates' densities while keeping the single-plate floor, and a sample with one blank plate and one single-colony plate then reported a fraction below its own floor — a culture apparently killed deeper than its headroom allowed. That is the error this manuscript accuses the literature of, committed in its own arithmetic, and it is recorded here rather than quietly fixed.</w:t>
      </w:r>
    </w:p>
    <w:p>
      <w:r>
        <w:rPr>
          <w:b/>
        </w:rPr>
        <w:t>Analysis.</w:t>
      </w:r>
      <w:r>
        <w:t xml:space="preserve"> Headroom, censoring at the floor and the three tolerance classes are as defined in the Methods above and are applied here unchanged; a plate with no colonies is a left-censored reading below </w:t>
      </w:r>
      <w:r>
        <w:rPr>
          <w:i/>
        </w:rPr>
        <w:t>L</w:t>
      </w:r>
      <w:r>
        <w:t xml:space="preserve">, held at </w:t>
      </w:r>
      <w:r>
        <w:rPr>
          <w:i/>
        </w:rPr>
        <w:t>L</w:t>
      </w:r>
      <w:r>
        <w:t xml:space="preserve"> for log-reduction and plotting rather than set to zero. Each plating series carries the starting density measured on that same plating, because the 10 µL series never made the 100 µL measurement and importing it would report a depth that series could not have reached. Where the argument is about the plated volume alone — the two-label count — a single pooled </w:t>
      </w:r>
      <w:r>
        <w:rPr>
          <w:i/>
        </w:rPr>
        <w:t>N</w:t>
      </w:r>
      <w:r>
        <w:t xml:space="preserve">₀ per flask is used instead, and both figures are reported. Class labels use the thresholds of the clinical deposit reanalysed above, </w:t>
      </w:r>
      <w:r>
        <w:rPr>
          <w:i/>
        </w:rPr>
        <w:t>c</w:t>
      </w:r>
      <w:r>
        <w:t xml:space="preserve">₁ = 10⁻³ and </w:t>
      </w:r>
      <w:r>
        <w:rPr>
          <w:i/>
        </w:rPr>
        <w:t>c</w:t>
      </w:r>
      <w:r>
        <w:t>₂ = 10⁻², so that the two experiments are scored on one rule.</w:t>
      </w:r>
    </w:p>
    <w:p>
      <w:pPr>
        <w:spacing w:before="240"/>
      </w:pPr>
      <w:r>
        <w:rPr>
          <w:b/>
          <w:sz w:val="22"/>
        </w:rPr>
        <w:t>Two kinds of limit, kept apart</w:t>
      </w:r>
    </w:p>
    <w:p>
      <w:r>
        <w:t xml:space="preserve">No deposit analysed here reports a validated limit of quantification with a value. The six-laboratory file names the concept in the definitions of its BQL and AQL columns but defines it as whether the plate was countable, which is an operator's judgement rather than a validated limit.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and where none is recorded it is inferred from the deposit and is labelled as inferred. The term limit of quantification is used only in reporting what a source states.</w:t>
      </w:r>
    </w:p>
    <w:p>
      <w:r>
        <w:t xml:space="preserve">Those two names are the precise ones and are used where </w:t>
      </w:r>
      <w:r>
        <w:rPr>
          <w:i/>
        </w:rPr>
        <w:t>L</w:t>
      </w:r>
      <w:r>
        <w:t xml:space="preserve"> is defined or its provenance discussed. 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how it was arrived at, and how replicate plates and plated volumes were treated is tabulated deposit by deposit (Table S13).</w:t>
      </w:r>
    </w:p>
    <w:p>
      <w:r>
        <w:t>Two distinct censoring problems arise and are handled separately, because conflating them is the error this paper is about.</w:t>
      </w:r>
    </w:p>
    <w:p>
      <w:r>
        <w:t xml:space="preserve">A </w:t>
      </w:r>
      <w:r>
        <w:rPr>
          <w:b/>
        </w:rPr>
        <w:t>count below the assay floor</w:t>
      </w:r>
      <w:r>
        <w:t xml:space="preserve"> is left-censored: the population is somewhere below a known value. In the six-laboratory deposit that value is a property of the plated volume, as above. In the clinical deposit the readings are most probable numbers taking the discrete values of an MPN table (5, 6), and the day-5 column bottoms out at 23 per mL with a visible pile-up there; that value is treated as the floor, and the first Results section reports the evidence for it.</w:t>
      </w:r>
    </w:p>
    <w:p>
      <w:r>
        <w:t>That deposit states no limit of quantification, so the floor is inferred rather than read off, and the inference is bounded rather than asserted. Three things support it: 23 per mL is the smallest value anywhere in the file, nothing lies below it in 1 932 readings, and the minimum shifts by exactly a factor of ten per visit — 2 300, 230, 23 — in all three culture ages, which is the signature of one dilution series applied to a differently diluted sample at each timepoint.</w:t>
      </w:r>
    </w:p>
    <w:p>
      <w:r>
        <w:t xml:space="preserve">The floor is therefore visit-specific, and it does not follow that every visit has one. A floor is a value readings stop at, so it shows as a pile-up on the lowest rung with nothing below; the ten-fold shift alone only shows the dilution changing. Applying the rule of the next subsection visit by visit, the day-5 column has that signature in every panel and the day-2 column has it at 15 days, but the day-0 column does not: its minimum of 2 300 per mL occurs exactly once in each panel, with the next value at 6 100, which is the tail of a distribution rather than a floor. The verdict for day 0 is that no floor is evidenced. The starting density is therefore an observed value throughout, and no quantity in this paper that conditions on </w:t>
      </w:r>
      <w:r>
        <w:rPr>
          <w:i/>
        </w:rPr>
        <w:t>N₀</w:t>
      </w:r>
      <w:r>
        <w:t xml:space="preserve"> needs a censored specification. Since none of that is proof, the load-bearing count is recomputed at every value a three-tube MPN table returns below 23. The number of isolates lacking four logs of headroom is 33 at a floor of 23 and does not fall below 28 at a floor of 3.0, the lowest such table returns. The conclusion holds across the whole range, so it is not an artefact of where we place the floor, and the same sweep is run for every deposit that carries a floor (Table S14).</w:t>
      </w:r>
    </w:p>
    <w:p>
      <w:r>
        <w:t xml:space="preserve">One further property of </w:t>
      </w:r>
      <w:r>
        <w:rPr>
          <w:i/>
        </w:rPr>
        <w:t>L</w:t>
      </w:r>
      <w:r>
        <w:t xml:space="preserve"> decides how a floor reading is analysed, and the two cases are not interchangeable. A volume-derived plate floor bounds the true count from above: a blank plate means fewer than one colony in the volume plated, so the true count lies in [0, </w:t>
      </w:r>
      <w:r>
        <w:rPr>
          <w:i/>
        </w:rPr>
        <w:t>L</w:t>
      </w:r>
      <w:r>
        <w:t>]. An MPN rung does not. A reading of 23 per mL is the maximum-likelihood estimate of one well pattern — all wells positive at the first dilution, nothing beyond — and the likelihood around it extends well above the rung: the 95 per cent profile interval is 3 to 120 per mL under the deposit's own design (duplicate wells, a 100 µL first well, ten-fold dilutions; 5 to 91 under the triplicate protocol). Treating [0, 23] as the support of the true count is therefore wrong for this deposit, and the identifiability verdicts of Sections 2 and 3 were recomputed under the assay's own likelihood instead of the plate sweep (Table S15). Every day-5 verdict is unchanged: 12 of 18 floored isolates admit one class and six admit two in the 15-day panel, and six of six admit one in the 60-day panel, identically under the literal-pattern interval and the censoring bound at both 95 and 99 per cent. The verdicts are robust for a structural reason: the floored isolates' starting densities sit far from the shifted threshold, and even the widest 99 per cent bound, 209 per mL, falls short of the 230 per mL that would move any of the twelve. At day 2, where the floor is 230, the same sensitivity moves one isolate of eighteen from one compatible class to two.</w:t>
      </w:r>
    </w:p>
    <w:p>
      <w:r>
        <w:t>The six-laboratory deposit also carries the evidence for judging each reading against its own volume rather than pooling. Each sample is plated at four volumes at the same visit, so a below-limit flag can be checked against the other platings of the same flask. Of its 498 flags, 83, or 16.7 per cent, are contradicted: another plating of the same sample at the same visit, with a limit at least as sensitive, returns a quantified count above the flagged reading's limit. Those flags record a drop that missed rather than a culture that fell. Pooling the four volumes to a single limit would treat them as evidence about the population; judging each against the floor its own volume implies does not, and that is the reason the analysis is built the way it is. The cost of pooling can be priced. Pooling at the least sensitive volume would discard 126 genuine quantified counts, 5.9 per cent of them, and pooling changes the contradicted-flag rate itself: 16.7 per cent judged per volume, against 43.2 per cent pooled at 10 CFU/mL and 15.3 per cent pooled at 400. The audit's own answer depends on the choice, which is the strongest reason to make it explicitly.</w:t>
      </w:r>
    </w:p>
    <w:p>
      <w:r>
        <w:t xml:space="preserve">A </w:t>
      </w:r>
      <w:r>
        <w:rPr>
          <w:b/>
        </w:rPr>
        <w:t>crossing time not observed within the study</w:t>
      </w:r>
      <w:r>
        <w:t xml:space="preserve"> is right-censored: the event has not happened yet, which is not the same as the event having no time. A flask that never fell below the floor contributes the information that its crossing time exceeds its last visit, and enters the survival likelihood as such. It is never recorded as missing.</w:t>
      </w:r>
    </w:p>
    <w:p>
      <w:pPr>
        <w:spacing w:before="240"/>
      </w:pPr>
      <w:r>
        <w:rPr>
          <w:b/>
          <w:sz w:val="22"/>
        </w:rPr>
        <w:t>Floor posterior, refusal, and what is not learned</w:t>
      </w:r>
    </w:p>
    <w:p>
      <w:r>
        <w:t xml:space="preserve">The algebra of headroom and observability is closed form once </w:t>
      </w:r>
      <w:r>
        <w:rPr>
          <w:i/>
        </w:rPr>
        <w:t>L</w:t>
      </w:r>
      <w:r>
        <w:t xml:space="preserve"> is known. What requires inference is </w:t>
      </w:r>
      <w:r>
        <w:rPr>
          <w:i/>
        </w:rPr>
        <w:t>L</w:t>
      </w:r>
      <w:r>
        <w:t xml:space="preserve"> itself, and the two cases are not alike. A volume-derived floor — one colony in </w:t>
      </w:r>
      <w:r>
        <w:rPr>
          <w:i/>
        </w:rPr>
        <w:t>V</w:t>
      </w:r>
      <w:r>
        <w:t xml:space="preserve"> µL is 1000/</w:t>
      </w:r>
      <w:r>
        <w:rPr>
          <w:i/>
        </w:rPr>
        <w:t>V</w:t>
      </w:r>
      <w:r>
        <w:t xml:space="preserve"> per mL, and the observed minimum equals that value — is a point mass, with nothing to infer. A floor inferred from a pile-up on a most-probable-number rung carries a discrete posterior over the rungs at or below the observed minimum; the interval quoted is the 95 per cent highest-posterior-density support.</w:t>
      </w:r>
    </w:p>
    <w:p>
      <w:r>
        <w:t xml:space="preserve">That distinction is turned into a rule rather than a caveat. Where the verdict is that no floor is evidenced, or where the support spans more than one log10, the observability labels are </w:t>
      </w:r>
      <w:r>
        <w:rPr>
          <w:b/>
        </w:rPr>
        <w:t>refused</w:t>
      </w:r>
      <w:r>
        <w:t xml:space="preserve"> rather than reported (Table S16). Surviving fractions written as exact zeros with no named </w:t>
      </w:r>
      <w:r>
        <w:rPr>
          <w:i/>
        </w:rPr>
        <w:t>L</w:t>
      </w:r>
      <w:r>
        <w:t xml:space="preserve"> fall in that refused class, as does a deposit whose minimum occurs once in a continuous tail. The clinical deposit passes the rule with a support of 0.40 log10; two of the five deposits fail it and are labelled accordingly. This paper fits nothing to predict an MDK: once </w:t>
      </w:r>
      <w:r>
        <w:rPr>
          <w:i/>
        </w:rPr>
        <w:t>L</w:t>
      </w:r>
      <w:r>
        <w:t xml:space="preserve"> is in hand the rest is derived.</w:t>
      </w:r>
    </w:p>
    <w:p>
      <w:r>
        <w:t xml:space="preserve">The same likelihood turns the classification itself into an inference with a refusal rule. Given a floor reading, the posterior over the true count maps through the isolate's starting density to a posterior over class, and an isolate is refused when no class reaches 95 per cent (Table S12). In the 15-day panel the twelve isolates recorded as Low are confirmed with P(Low) ≥ 0.999, and the six recorded as Medium are refused: their posterior splits across the threshold the deposit drew at exactly </w:t>
      </w:r>
      <w:r>
        <w:rPr>
          <w:i/>
        </w:rPr>
        <w:t>L</w:t>
      </w:r>
      <w:r>
        <w:t>/</w:t>
      </w:r>
      <w:r>
        <w:rPr>
          <w:i/>
        </w:rPr>
        <w:t>N</w:t>
      </w:r>
      <w:r>
        <w:t>₀ = 10⁻³ (P(Low) 0.53, P(Medium) 0.47 under the primary analysis). The refusal is robust: across both well designs, both readings of the floor value and two priors — eight analyses in all — no Medium label is ever confirmed and no Low label ever fails, and under the most conservative analysis the six are assigned to Low rather than merely refused. The labels the arithmetic could not choose carry no defensible information; the labels it could are confirmed outright.</w:t>
      </w:r>
    </w:p>
    <w:p>
      <w:pPr>
        <w:spacing w:before="240"/>
      </w:pPr>
      <w:r>
        <w:rPr>
          <w:b/>
          <w:sz w:val="22"/>
        </w:rPr>
        <w:t>Causal mediation of the resistance association</w:t>
      </w:r>
    </w:p>
    <w:p>
      <w:r>
        <w:t xml:space="preserve">The attenuation of the resistance coefficient once starting density enters the model is reported in the Results as a descriptive ratio, which is what it is. Separately, a linear product-of-coefficients mediation decomposes the total effect of isoniazid resistance on the day-5 tolerance class into an average causal mediation effect through log10 </w:t>
      </w:r>
      <w:r>
        <w:rPr>
          <w:i/>
        </w:rPr>
        <w:t>N₀</w:t>
      </w:r>
      <w:r>
        <w:t xml:space="preserve"> and an average direct effect (29, 30), with bootstrap percentile intervals from 5 000 resamples, repeated on the baseline stratum and on two binary collapses of the outcome.</w:t>
      </w:r>
    </w:p>
    <w:p>
      <w:r>
        <w:t xml:space="preserve">The refit that answers the objection about the mediator being the outcome's own denominator is reported in Section 5. Its stratum is defined here: an isolate is excluded from it when its day-5 reading is at or below the floor of 23 MPN per mL, which is the condition under which the recorded fraction is </w:t>
      </w:r>
      <w:r>
        <w:rPr>
          <w:i/>
        </w:rPr>
        <w:t>L</w:t>
      </w:r>
      <w:r>
        <w:t>/</w:t>
      </w:r>
      <w:r>
        <w:rPr>
          <w:i/>
        </w:rPr>
        <w:t>N</w:t>
      </w:r>
      <w:r>
        <w:t>₀ and the class carries no measured numerator. Eighteen of the 203 meet it. The refit is the same estimator on the remaining 185, with the same seed and the same 5 000 resamples, so the two are comparable term by term.</w:t>
      </w:r>
    </w:p>
    <w:p>
      <w:r>
        <w:t>Sequential ignorability is assumed and is not testable here, so the estimate is accompanied by the sensitivity that matters: the residual correlation between mediator and outcome errors at which the point estimate crosses zero, which is about −0.23. The outcome is an ordinal class scored linearly, as in the association family; the binary collapses are reported because they do not depend on that scoring. No claim is made that unmeasured confounding is absent. The estimate replaces the attenuation percentage as the quantity cited for the pathway (Table S6).</w:t>
      </w:r>
    </w:p>
    <w:p>
      <w:r>
        <w:t>Fold-change figures such as 216-fold and 265-fold are ten raised to the unrounded log10 difference before display rounding, so that Δ</w:t>
      </w:r>
      <w:r>
        <w:rPr>
          <w:i/>
        </w:rPr>
        <w:t>h</w:t>
      </w:r>
      <w:r>
        <w:t xml:space="preserve"> = 2.3349… is reported as 216-fold rather than as 10^2.33.</w:t>
      </w:r>
    </w:p>
    <w:p>
      <w:pPr>
        <w:spacing w:before="240"/>
      </w:pPr>
      <w:r>
        <w:rPr>
          <w:b/>
          <w:sz w:val="22"/>
        </w:rPr>
        <w:t>What each analysis was fitted to</w:t>
      </w:r>
    </w:p>
    <w:p>
      <w:r>
        <w:t>A dozen different denominators appear in this paper and each is correct for its own analysis, so every one of them is derived in a single place (Table S2). The reductions are few and they are named: the MDR tolerance label is a fourth, unordered category and is dropped wherever an ordered outcome is fitted, taking 14 rows from each panel; six 60-day labels are absent before that, so the 60-day panel loses 20 in all; the growth proxy is missing for one isolate; and five of the 72 treated flasks in the six-laboratory deposit carry no usable starting density, which is why a comparison over 72 flasks is reported on 67. Of the 30 laboratory-by-arm cells, 29 retain enough quantified readings to fit a rate.</w:t>
      </w:r>
    </w:p>
    <w:p>
      <w:r>
        <w:t>The series counts in the six-laboratory deposit differ for the same reason. Each of the 90 flasks is plated four ways, giving 360 series of which 288 are treated; the descriptive Cox drops a further 27, 26 for carrying no quantified reading at day 0 or day 1 in their own plating and one for reading below its floor at day zero, leaving 261.</w:t>
      </w:r>
    </w:p>
    <w:p>
      <w:r>
        <w:t>Whether these exclusions are plausibly ignorable is tested rather than asserted: dropped rows are compared with retained rows on starting density and susceptibility (Table S17). The MDR exclusion differs in susceptibility by construction. The only difference not by construction is in the 60-day panel, where the 20 dropped rows sit higher in starting density.</w:t>
      </w:r>
    </w:p>
    <w:p>
      <w:pPr>
        <w:spacing w:before="240"/>
      </w:pPr>
      <w:r>
        <w:rPr>
          <w:b/>
          <w:sz w:val="22"/>
        </w:rPr>
        <w:t>Dynamic range, and the two boundaries it sets</w:t>
      </w:r>
    </w:p>
    <w:p>
      <w:r>
        <w:t xml:space="preserve">For a culture starting at </w:t>
      </w:r>
      <w:r>
        <w:rPr>
          <w:i/>
        </w:rPr>
        <w:t>N₀</w:t>
      </w:r>
      <w:r>
        <w:t xml:space="preserve"> against an assay floor </w:t>
      </w:r>
      <w:r>
        <w:rPr>
          <w:i/>
        </w:rPr>
        <w:t>L</w:t>
      </w:r>
      <w:r>
        <w:t>, two quantities are used and are kept apart, because they are not interchangeable:</w:t>
      </w:r>
    </w:p>
    <w:p>
      <w:r>
        <w:rPr>
          <w:i/>
        </w:rPr>
        <w:t>H</w:t>
      </w:r>
      <w:r>
        <w:t xml:space="preserve"> = </w:t>
      </w:r>
      <w:r>
        <w:rPr>
          <w:i/>
        </w:rPr>
        <w:t>N₀</w:t>
      </w:r>
      <w:r>
        <w:t>/</w:t>
      </w:r>
      <w:r>
        <w:rPr>
          <w:i/>
        </w:rPr>
        <w:t>L</w:t>
      </w:r>
      <w:r>
        <w:t xml:space="preserve">, a ratio; </w:t>
      </w:r>
      <w:r>
        <w:rPr>
          <w:i/>
        </w:rPr>
        <w:t>h</w:t>
      </w:r>
      <w:r>
        <w:t xml:space="preserve"> = log10(</w:t>
      </w:r>
      <w:r>
        <w:rPr>
          <w:i/>
        </w:rPr>
        <w:t>N₀</w:t>
      </w:r>
      <w:r>
        <w:t>/</w:t>
      </w:r>
      <w:r>
        <w:rPr>
          <w:i/>
        </w:rPr>
        <w:t>L</w:t>
      </w:r>
      <w:r>
        <w:t xml:space="preserve">), the </w:t>
      </w:r>
      <w:r>
        <w:rPr>
          <w:b/>
        </w:rPr>
        <w:t>headroom</w:t>
      </w:r>
      <w:r>
        <w:t>, in log10 units.</w:t>
      </w:r>
    </w:p>
    <w:p>
      <w:r>
        <w:t xml:space="preserve">The headroom is the deepest reduction the assay can resolve. It is fixed by the dilution scheme and the starting culture before any drug acts, and variation between cultures is reported on </w:t>
      </w:r>
      <w:r>
        <w:rPr>
          <w:i/>
        </w:rPr>
        <w:t>h</w:t>
      </w:r>
      <w:r>
        <w:t xml:space="preserve"> rather than on </w:t>
      </w:r>
      <w:r>
        <w:rPr>
          <w:i/>
        </w:rPr>
        <w:t>N₀</w:t>
      </w:r>
      <w:r>
        <w:t>, as Δ</w:t>
      </w:r>
      <w:r>
        <w:rPr>
          <w:i/>
        </w:rPr>
        <w:t>h</w:t>
      </w:r>
      <w:r>
        <w:t xml:space="preserve"> = max(</w:t>
      </w:r>
      <w:r>
        <w:rPr>
          <w:i/>
        </w:rPr>
        <w:t>h</w:t>
      </w:r>
      <w:r>
        <w:t>) − min(</w:t>
      </w:r>
      <w:r>
        <w:rPr>
          <w:i/>
        </w:rPr>
        <w:t>h</w:t>
      </w:r>
      <w:r>
        <w:t>) with the corresponding fold difference 10^Δ</w:t>
      </w:r>
      <w:r>
        <w:rPr>
          <w:i/>
        </w:rPr>
        <w:t>h</w:t>
      </w:r>
      <w:r>
        <w:t xml:space="preserve">. That distinction is not notational here. Where </w:t>
      </w:r>
      <w:r>
        <w:rPr>
          <w:i/>
        </w:rPr>
        <w:t>L</w:t>
      </w:r>
      <w:r>
        <w:t xml:space="preserve"> is set by the plated volume, one culture read on a 2.5 µL drop and on a 100 µL quadruplicate differs by 1.60 log10 in headroom, and a figure computed from </w:t>
      </w:r>
      <w:r>
        <w:rPr>
          <w:i/>
        </w:rPr>
        <w:t>N₀</w:t>
      </w:r>
      <w:r>
        <w:t xml:space="preserve"> alone would discard it.</w:t>
      </w:r>
    </w:p>
    <w:p>
      <w:r>
        <w:t>Two boundaries follow from the definitions alone.</w:t>
      </w:r>
    </w:p>
    <w:p>
      <w:r>
        <w:rPr>
          <w:b/>
        </w:rPr>
        <w:t>Reachability.</w:t>
      </w:r>
      <w:r>
        <w:t xml:space="preserve"> The smallest value the assay reports as a measurement is </w:t>
      </w:r>
      <w:r>
        <w:rPr>
          <w:i/>
        </w:rPr>
        <w:t>L</w:t>
      </w:r>
      <w:r>
        <w:t xml:space="preserve">, so the largest reduction expressible as a measured value is </w:t>
      </w:r>
      <w:r>
        <w:rPr>
          <w:i/>
        </w:rPr>
        <w:t>h</w:t>
      </w:r>
      <w:r>
        <w:t xml:space="preserve">. A </w:t>
      </w:r>
      <w:r>
        <w:rPr>
          <w:i/>
        </w:rPr>
        <w:t>q</w:t>
      </w:r>
      <w:r>
        <w:t>-log endpoint is therefore observable if and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 an upper bound, not a measurement. Given class thresholds 0 &lt; </w:t>
      </w:r>
      <w:r>
        <w:rPr>
          <w:i/>
        </w:rPr>
        <w:t>c</w:t>
      </w:r>
      <w:r>
        <w:t xml:space="preserve">₁ &lt; </w:t>
      </w:r>
      <w:r>
        <w:rPr>
          <w:i/>
        </w:rPr>
        <w:t>c</w:t>
      </w:r>
      <w:r>
        <w:t xml:space="preserve">₂ …, the class is determined by the data only if the whole interval [0, </w:t>
      </w:r>
      <w:r>
        <w:rPr>
          <w:i/>
        </w:rPr>
        <w:t>L</w:t>
      </w:r>
      <w:r>
        <w:t>/</w:t>
      </w:r>
      <w:r>
        <w:rPr>
          <w:i/>
        </w:rPr>
        <w:t>N₀</w:t>
      </w:r>
      <w:r>
        <w:t>] lies inside one class. Since that interval contains zero, the only candidate is the lowest class, so the class is determined if and only if</w:t>
      </w:r>
    </w:p>
    <w:p>
      <w:r>
        <w:rPr>
          <w:i/>
        </w:rPr>
        <w:t>N₀</w:t>
      </w:r>
      <w:r>
        <w:t xml:space="preserve"> &gt; </w:t>
      </w:r>
      <w:r>
        <w:rPr>
          <w:i/>
        </w:rPr>
        <w:t>N</w:t>
      </w:r>
      <w:r>
        <w:t xml:space="preserve">_id = </w:t>
      </w:r>
      <w:r>
        <w:rPr>
          <w:i/>
        </w:rPr>
        <w:t>L</w:t>
      </w:r>
      <w:r>
        <w:t>/</w:t>
      </w:r>
      <w:r>
        <w:rPr>
          <w:i/>
        </w:rPr>
        <w:t>c</w:t>
      </w:r>
      <w:r>
        <w:t>₁.</w:t>
      </w:r>
    </w:p>
    <w:p>
      <w:r>
        <w:t xml:space="preserve">Above that boundary the lowest class is the only one compatible with a censored reading, whatever the true count was, so the class the rule assigns is fixed by </w:t>
      </w:r>
      <w:r>
        <w:rPr>
          <w:i/>
        </w:rPr>
        <w:t>N₀</w:t>
      </w:r>
      <w:r>
        <w:t xml:space="preserve"> rather than by the surviving population. The boundary says nothing about whether a culture reaches the floor, which depends on the drug; it says what the classification can mean once one has. Both boundaries are properties of the method and involve neither the drug nor the strain, and their ratio is </w:t>
      </w:r>
      <w:r>
        <w:rPr>
          <w:i/>
        </w:rPr>
        <w:t>N</w:t>
      </w:r>
      <w:r>
        <w:t>_reach/</w:t>
      </w:r>
      <w:r>
        <w:rPr>
          <w:i/>
        </w:rPr>
        <w:t>N</w:t>
      </w:r>
      <w:r>
        <w:t xml:space="preserve">_id = </w:t>
      </w:r>
      <w:r>
        <w:rPr>
          <w:i/>
        </w:rPr>
        <w:t>c</w:t>
      </w:r>
      <w:r>
        <w:t>₁ · 10^</w:t>
      </w:r>
      <w:r>
        <w:rPr>
          <w:i/>
        </w:rPr>
        <w:t>q</w:t>
      </w:r>
      <w:r>
        <w:t>.</w:t>
      </w:r>
    </w:p>
    <w:p>
      <w:r>
        <w:t xml:space="preserve">Seeding a culture above </w:t>
      </w:r>
      <w:r>
        <w:rPr>
          <w:i/>
        </w:rPr>
        <w:t>L</w:t>
      </w:r>
      <w:r>
        <w:t xml:space="preserve"> · max(10^</w:t>
      </w:r>
      <w:r>
        <w:rPr>
          <w:i/>
        </w:rPr>
        <w:t>q</w:t>
      </w:r>
      <w:r>
        <w:t>, 1/</w:t>
      </w:r>
      <w:r>
        <w:rPr>
          <w:i/>
        </w:rPr>
        <w:t>c</w:t>
      </w:r>
      <w:r>
        <w:t>₁) makes both failure modes impossible, which is a design criterion computable before an experiment rather than a diagnosis after it.</w:t>
      </w:r>
    </w:p>
    <w:p>
      <w:pPr>
        <w:spacing w:before="240"/>
      </w:pPr>
      <w:r>
        <w:rPr>
          <w:b/>
          <w:sz w:val="22"/>
        </w:rPr>
        <w:t>Estimation</w:t>
      </w:r>
    </w:p>
    <w:p>
      <w:r>
        <w:t xml:space="preserve">A </w:t>
      </w:r>
      <w:r>
        <w:rPr>
          <w:b/>
        </w:rPr>
        <w:t>Tobit model</w:t>
      </w:r>
      <w:r>
        <w:t xml:space="preserve"> fits log10 CFU/mL linearly in time by maximum likelihood (31). An observed reading contributes the usual Gaussian density; a censored reading contributes log Φ((limit − µ)/σ), the probability that it fell below its own limit. This is Beal's M3 (Beal 2001) written for this assay (32). The choice is not new to tuberculosis: censoring bactericidal-activity CFU series below their detection limit, rather than dropping or zeroing them, has been applied to early bactericidal activity trial data before, and reported to undercover the true killing rate relative to a model that treats zero counts as their own outcome rather than as bounded-below continuous ones (33, 34). That finding is about the slope fitted across an entire trial arm; what this paper adds is the classification consequence of the same censoring at the single terminal reading a tolerance call is cut on. Intervals come from the profile likelihood.</w:t>
      </w:r>
    </w:p>
    <w:p>
      <w:r>
        <w:rPr>
          <w:b/>
        </w:rPr>
        <w:t>Multiple imputation</w:t>
      </w:r>
      <w:r>
        <w:t xml:space="preserve"> draws each censored reading from the fitted normal truncated at its own limit, refits by ordinary least squares, and pools 50 fits by Rubin's rules (35). The imputation is proper: the line and the error scale are redrawn from the Tobit fit's own asymptotic distribution at every imputation rather than held at the point estimate, so the between-imputation variance carries the uncertainty in the model that generated the draws. What the agreement between the two estimators establishes is therefore that the answer does not depend on which arithmetic recovers it. It does not establish that the sub-floor distribution is normal: both make that assumption, and no reading below the floor exists to test it against. Where the assumption itself is in question, the quantity to look at is the headroom, not the fit.</w:t>
      </w:r>
    </w:p>
    <w:p>
      <w:r>
        <w:t>The growth proxy is the deposit's time to an optical density of 0.4, in days; the deposit records no wavelength, so none is given here. Because it is a time, it runs inversely to growth rate: a larger value is a slower-growing isolate.</w:t>
      </w:r>
    </w:p>
    <w:p>
      <w:r>
        <w:rPr>
          <w:b/>
        </w:rPr>
        <w:t>The tolerance label</w:t>
      </w:r>
      <w:r>
        <w:t xml:space="preserve"> is modelled as an ordered categorical outcome by proportional-odds ordinal logistic regression (36), with starting density as a prespecified covariate and every association reported unadjusted and adjusted for it. The MDR category of the deposited label is a fourth, unordered category and is excluded; all 14 rows carrying it fall outside the susceptible-versus-resistant contrast in any case, so the ordinal and linear models are fitted to identical rows. Proportional odds is tested by a Brant test per predictor (37) and by a likelihood-ratio test against a generalised ordered logit (38) with the coefficient released; where it fails, the released partial-proportional-odds fit is reported and checked against a multinomial fit that assumes no ordering. Rows are dropped only for a missing outcome, predictor or starting density, and the dropped rows are compared with the retained ones on starting density and susceptibility. Because the deposit carries no patient identifier, the repeated-isolate structure is handled by a baseline-only stratum rather than by a random effect, and the linear models of the earlier analysis are retained as a sensitivity comparison (Table S18).</w:t>
      </w:r>
    </w:p>
    <w:p>
      <w:r>
        <w:rPr>
          <w:b/>
        </w:rPr>
        <w:t>Time-to-event analysis</w:t>
      </w:r>
      <w:r>
        <w:t xml:space="preserve"> treats the </w:t>
      </w:r>
      <w:r>
        <w:rPr>
          <w:b/>
        </w:rPr>
        <w:t>first observed crossing below the assay floor</w:t>
      </w:r>
      <w:r>
        <w:t xml:space="preserve"> as the event, with series never falling below their own floor right-censored at their last visit. The event is named that way throughout and is not read as clearance, sterilisation or the end of a culture: of the series that cross, 60 per cent read above the floor again at a later visit.</w:t>
      </w:r>
    </w:p>
    <w:p>
      <w:r>
        <w:t xml:space="preserve">The crossing time is interval-censored, not observed: it lies between the last visit above the floor and the first visit below it, and the visit schedule is coarse. Interval-censored fits (39) are therefore reported alongside the naive treatment that pins the event to the visit at which the blank plate was noticed. Kaplan–Meier (40) and Cox proportional hazards (41) are retained as </w:t>
      </w:r>
      <w:r>
        <w:rPr>
          <w:b/>
        </w:rPr>
        <w:t>descriptive</w:t>
      </w:r>
      <w:r>
        <w:t xml:space="preserve"> summaries of first crossing only; their intervals are replaced by cluster bootstraps over laboratories and over flasks (42), because those 261 series come from 72 flasks in 6 laboratories and the partial likelihood treats them as independent. No p-value is quoted for a term that is constant within laboratory, since six clusters cannot support one. Proportionality is tested on Schoenfeld residuals (43, 44).</w:t>
      </w:r>
    </w:p>
    <w:p>
      <w:r>
        <w:t>A cell is fitted only when it retains at least six quantified readings at three distinct times; below that the slope is determined by the censoring pattern rather than by the counts.</w:t>
      </w:r>
    </w:p>
    <w:p>
      <w:r>
        <w:rPr>
          <w:b/>
        </w:rPr>
        <w:t>The replicate-level bootstrap</w:t>
      </w:r>
      <w:r>
        <w:t xml:space="preserve"> (45) behind the interval slopes resamples the three replicate counts with replacement at both ends of each interval, takes their mean, refits the concentration slope on each draw, and takes percentile intervals from 20 000 draws. The resampling unit is the replicate count, not the interval, so a draw can repeat a replicate at one end and not the other. It is a draw of the three-replicate MEAN, because the mean is what the slope is fitted through; drawing a single replicate instead would attach the variance of one count to an estimate built from three. This bootstrap, and not the least-squares fit through the four concentration means that the deposited table reports beside it, is the interval quoted in Text S3 and drawn in Figure S3C. The least-squares fit is kept in the table for comparison and is labelled there: it has two residual degrees of freedom and discards the replicate scatter entirely. An interval on a proportion — an inversion rate, or a share of flasks — is the Jeffreys interval (46), which is the equal-tailed posterior under the Jeffreys prior and does not collapse to zero width when the count is 0 or n, as the normal approximation does at the sample sizes here.</w:t>
      </w:r>
    </w:p>
    <w:p>
      <w:r>
        <w:rPr>
          <w:b/>
        </w:rPr>
        <w:t>What is standard and what is not.</w:t>
      </w:r>
      <w:r>
        <w:t xml:space="preserve"> The Tobit fit, Kaplan–Meier, Cox and the interval-censored fits come from the packages named below. Four procedures do not: the Brant test of proportional odds, the partial-proportional-odds fit with a per-cut coefficient mask, the product-of-coefficients mediation with bootstrap percentile intervals, and the residual-correlation sensitivity for sequential ignorability. Those are implemented in the released analysis code rather than taken from a package — in `exp30_ordinal_tolerance.py` and `exp34_mediation.py` — and the partial-proportional-odds likelihood is validated against the proportional-odds fit it nests, agreeing to 1.0 × 10⁻¹⁰ in log-likelihood when nothing is released. The multinomial check uses statsmodels.</w:t>
      </w:r>
    </w:p>
    <w:p>
      <w:pPr>
        <w:spacing w:before="240"/>
      </w:pPr>
      <w:r>
        <w:rPr>
          <w:b/>
          <w:sz w:val="22"/>
        </w:rPr>
        <w:t>The decomposition of a crossing time</w:t>
      </w:r>
    </w:p>
    <w:p>
      <w:r>
        <w:t xml:space="preserve">Over an interval in which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is exact on this model and splits a difference in crossing time into a distance term and a rate term. An </w:t>
      </w:r>
      <w:r>
        <w:rPr>
          <w:b/>
        </w:rPr>
        <w:t>inversion</w:t>
      </w:r>
      <w:r>
        <w:t xml:space="preserve"> is a pair in which A fell faster yet crossed later, which occurs exactly when </w:t>
      </w:r>
      <w:r>
        <w:rPr>
          <w:i/>
        </w:rPr>
        <w:t>D_A</w:t>
      </w:r>
      <w:r>
        <w:t>/</w:t>
      </w:r>
      <w:r>
        <w:rPr>
          <w:i/>
        </w:rPr>
        <w:t>D_B</w:t>
      </w:r>
      <w:r>
        <w:t xml:space="preserve"> &gt; </w:t>
      </w:r>
      <w:r>
        <w:rPr>
          <w:i/>
        </w:rPr>
        <w:t>b_A</w:t>
      </w:r>
      <w:r>
        <w:t>/</w:t>
      </w:r>
      <w:r>
        <w:rPr>
          <w:i/>
        </w:rPr>
        <w:t>b_B</w:t>
      </w:r>
      <w:r>
        <w:t xml:space="preserve">. A single slope is not a full description of a biphasic trajectory, so </w:t>
      </w:r>
      <w:r>
        <w:rPr>
          <w:i/>
        </w:rPr>
        <w:t>b</w:t>
      </w:r>
      <w:r>
        <w:t xml:space="preserve"> is the average decline over the window fitted, and the variance shares reported below are shares of that averaged slope; averaging across decline and regrowth moves the rate term up rather than down, so the distance share is a lower bound; </w:t>
      </w:r>
      <w:r>
        <w:rPr>
          <w:i/>
        </w:rPr>
        <w:t>D</w:t>
      </w:r>
      <w:r>
        <w:t xml:space="preserve"> is taken from the measured day 0 to 1 density rather than from the fitted intercept, because a single line through a biphasic curve extrapolates back to an intercept well below the culture the flask started from.</w:t>
      </w:r>
    </w:p>
    <w:p>
      <w:pPr>
        <w:spacing w:before="240"/>
      </w:pPr>
      <w:r>
        <w:rPr>
          <w:b/>
          <w:sz w:val="22"/>
        </w:rPr>
        <w:t>Multiplicity</w:t>
      </w:r>
    </w:p>
    <w:p>
      <w:r>
        <w:t>Where a question admits more than one test, every test the deposit supports is run, and the family is corrected by the Benjamini–Hochberg procedure (47) at a false discovery rate of 5 per cent. For each test we report the correlation the sample size could have resolved at 95 per cent confidence, so that a null is bounded rather than asserted.</w:t>
      </w:r>
    </w:p>
    <w:p>
      <w:pPr>
        <w:spacing w:before="240"/>
      </w:pPr>
      <w:r>
        <w:rPr>
          <w:b/>
          <w:sz w:val="22"/>
        </w:rPr>
        <w:t>Reproducibility</w:t>
      </w:r>
    </w:p>
    <w:p>
      <w:r>
        <w:t>Every number in this paper is regenerated by a script that writes a machine- readable receipt of what it computed, and a separate audit script recomputes 174 of the quantities quoted in the text from the tables they came from and reports any that disagree. That audit is not exhaustive: it pins the load-bearing counts, every headline interval and every figure a conclusion rests on, and it does not pin every cell of every table.</w:t>
      </w:r>
    </w:p>
    <w:p>
      <w:r>
        <w:t>A second audit reads what the first cannot. The value audit parses table bodies only, so it never sees a table legend, a figure legend, Box 1 or the Abstract — and it has no way to notice that a number called a hazard ratio in one place is called a p-value in another, which is a mistake this manuscript made and a reviewer caught. The second audit checks that every number in those four regions, conventions such as the endpoint constants and the confidence level aside, occurs in a results file, a receipt or a table body; that no numeric literal carries two incompatible statistical labels and that no most-probable number is printed as a colony count; that percentages, fold-changes, corrected thresholds, spans and interval bounds follow from their own stated inputs; and that no conclusion the self-audit marks unsupported is still asserted anywhere, that every sample size traces to a line in the flow account, that every cross-reference resolves, and that no block of prose states the same thing twice, which is what a paragraph looks like when the passage its rewrite replaced was never deleted. It fails the pipeline on the findings it grades as contradictions and reports anything weaker without failing; an untraceable number in a figure legend, in Box 1 or in the Abstract is weaker, and so is a legend count its own table contradicts where the results carry that value elsewhere. Every table is generated from the results files and the manuscript is assembled from that generated material, never edited downstream of it, so a table cannot drift from the analysis behind it.</w:t>
      </w:r>
    </w:p>
    <w:p>
      <w:r>
        <w:t>What the second audit does not cover is worth stating, because a guarantee whose edges are unstated will be read as covering everything. It is an existence check before it is a semantic one: a number that is correct somewhere in the corpus but attached to the wrong quantity passes unless some other rule reaches it. Figure legends, Box 1 and the Abstract have no staleness net comparable to the one that diffs each spliced table against the block that generated it, so a stale number there is caught only if it exists nowhere else. An error introduced into a legend inside the table-generating code is invisible to a check that compares the paper against that code's own output. And the self-audit table is the premise of the withdrawn-claim check rather than its subject: the check sees only the conclusions that table lists, so a reading retracted in the prose alone lies outside it, and a verdict silently changed from unsupported to supported would not be detected.</w:t>
      </w:r>
    </w:p>
    <w:p>
      <w:r>
        <w:t>Analyses used Python 3.14 with numpy 2.5.0 (48), scipy 1.18.0 (49), pandas 3.0.3 (50), statsmodels 0.15.0 (51) and lifelines 0.30.3 (52).</w:t>
      </w:r>
    </w:p>
    <w:p>
      <w:pPr>
        <w:spacing w:before="240"/>
      </w:pPr>
      <w:r>
        <w:rPr>
          <w:b/>
          <w:sz w:val="22"/>
        </w:rPr>
        <w:t>Ethics</w:t>
      </w:r>
    </w:p>
    <w:p>
      <w:r>
        <w:t xml:space="preserve">This study reanalysed publicly available, de-identified datasets deposited by other groups,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reanalysed here was already public under an open licence and none was generated for this study. Each is identified in Table 3 and cited alongside the article that first described it: Vijay and colleagues (21, 53), van Wijk and colleagues (12, 13), Windels and colleagues (23, 24), Kaur and colleagues (25, 26), and the hollow-fibre Source Data of Dubey and colleagues (14, 15), held out of every fitting step. The readings from the prospective experiment are deposited with the analysis code.</w:t>
      </w:r>
    </w:p>
    <w:p>
      <w:r>
        <w:t>That code, both audit scripts, the headroom tool and the machine-readable receipts recording the software versions each stage ran under are in a public repository (54), with the documentation and test data needed to run them. It is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b271a2c+ of it — the state of the repository the text describes, rather than the commit that records the build. A trailing plus sign, if present, marks a build made with uncommitted changes in the tree.</w:t>
      </w:r>
    </w:p>
    <w:p>
      <w:r>
        <w:t>Every number quoted in this manuscript regenerates from the deposits by that code, and two audit stages check the text against those results. Neither pins every cell of every table, as the Reproducibility subsection states.</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8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11. Mann HB, Whitney DR. 1947. On a test of whether one of two random variables is stochastically larger than the other. Ann Math Stat 18:50-60. https://doi.org/10.1214/aoms/1177730491.</w:t>
      </w:r>
    </w:p>
    <w:p>
      <w:r>
        <w:t xml:space="preserve">12.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13.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14.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Imai K, Keele L, Yamamoto T. 2010. Identification, inference and sensitivity analysis for causal mediation effects. Stat Sci 25:51-71. https://doi.org/10.1214/10-STS321.</w:t>
      </w:r>
    </w:p>
    <w:p>
      <w:r>
        <w:t>30. Baron RM, Kenny DA. 1986. The moderator-mediator variable distinction in social psychological research: conceptual, strategic, and statistical considerations. J Pers Soc Psychol 51:1173-1182. https://doi.org/10.1037/0022-3514.51.6.1173.</w:t>
      </w:r>
    </w:p>
    <w:p>
      <w:r>
        <w:t>31. Tobin J. 1958. Estimation of relationships for limited dependent variables. Econometrica 26:24. https://doi.org/10.2307/1907382.</w:t>
      </w:r>
    </w:p>
    <w:p>
      <w:r>
        <w:t>32. Beal SL. 2001. Ways to fit a PK model with some data below the quantification limit. J Pharmacokinet Pharmacodyn 28:481-504. https://doi.org/10.1023/A:1012299115260.</w:t>
      </w:r>
    </w:p>
    <w:p>
      <w:r>
        <w:t>33. Burger DA, Schall R. 2015. A Bayesian nonlinear mixed-effects regression model for the characterization of early bactericidal activity of tuberculosis drugs. J Biopharm Stat 25:1247-1271. https://doi.org/10.1080/10543406.2014.971170.</w:t>
      </w:r>
    </w:p>
    <w:p>
      <w:r>
        <w:t>34. Burger DA, Schall R. 2018. Robust fit of Bayesian mixed effects regression models with application to colony forming unit count in tuberculosis research. Stat Med 37:544-556. https://doi.org/10.1002/sim.7529.</w:t>
      </w:r>
    </w:p>
    <w:p>
      <w:r>
        <w:t>35. Rubin DB. 1987. Multiple imputation for nonresponse in surveys. John Wiley &amp; Sons, New York, NY. https://doi.org/10.1002/9780470316696.</w:t>
      </w:r>
    </w:p>
    <w:p>
      <w:r>
        <w:t>36. McCullagh P. 1980. Regression models for ordinal data. J R Stat Soc Series B Stat Methodol 42:109-127. https://doi.org/10.1111/j.2517-6161.1980.tb01109.x.</w:t>
      </w:r>
    </w:p>
    <w:p>
      <w:r>
        <w:t>37. Brant R. 1990. Assessing proportionality in the proportional odds model for ordinal logistic regression. Biometrics 46:1171-1178.</w:t>
      </w:r>
    </w:p>
    <w:p>
      <w:r>
        <w:t>38. Peterson B, Harrell FE Jr. 1990. Partial proportional odds models for ordinal response variables. J R Stat Soc Ser C Appl Stat 39:205. https://doi.org/10.2307/2347760.</w:t>
      </w:r>
    </w:p>
    <w:p>
      <w:r>
        <w:t>39. Turnbull BW. 1976. The empirical distribution function with arbitrarily grouped, censored and truncated data. J R Stat Soc Series B Stat Methodol 38:290-295. https://doi.org/10.1111/j.2517-6161.1976.tb01597.x.</w:t>
      </w:r>
    </w:p>
    <w:p>
      <w:r>
        <w:t>40. Kaplan EL, Meier P. 1958. Nonparametric estimation from incomplete observations. J Am Stat Assoc 53:457-481. https://doi.org/10.1080/01621459.1958.10501452.</w:t>
      </w:r>
    </w:p>
    <w:p>
      <w:r>
        <w:t>41. Cox DR. 1972. Regression models and life-tables. J R Stat Soc Series B Stat Methodol 34:187-202. https://doi.org/10.1111/j.2517-6161.1972.tb00899.x.</w:t>
      </w:r>
    </w:p>
    <w:p>
      <w:r>
        <w:t>42. Field CA, Welsh AH. 2007. Bootstrapping clustered data. J R Stat Soc Series B Stat Methodol 69:369-390. https://doi.org/10.1111/j.1467-9868.2007.00593.x.</w:t>
      </w:r>
    </w:p>
    <w:p>
      <w:r>
        <w:t>43. Schoenfeld D. 1982. Partial residuals for the proportional hazards regression model. Biometrika 69:239-241. https://doi.org/10.1093/biomet/69.1.239.</w:t>
      </w:r>
    </w:p>
    <w:p>
      <w:r>
        <w:t>44. Grambsch PM, Therneau TM. 1994. Proportional hazards tests and diagnostics based on weighted residuals. Biometrika 81:515-526. https://doi.org/10.1093/biomet/81.3.515.</w:t>
      </w:r>
    </w:p>
    <w:p>
      <w:r>
        <w:t>45. Efron B. 1979. Bootstrap methods: another look at the jackknife. Ann Stat 7:1-26. https://doi.org/10.1214/aos/1176344552.</w:t>
      </w:r>
    </w:p>
    <w:p>
      <w:r>
        <w:t>46. Brown LD, Cai TT, DasGupta A. 2001. Interval estimation for a binomial proportion. Stat Sci 16:101-133. https://doi.org/10.1214/ss/1009213286.</w:t>
      </w:r>
    </w:p>
    <w:p>
      <w:r>
        <w:t>47. Benjamini Y, Hochberg Y. 1995. Controlling the false discovery rate: a practical and powerful approach to multiple testing. J R Stat Soc Series B Stat Methodol 57:289-300. https://doi.org/10.1111/j.2517-6161.1995.tb02031.x.</w:t>
      </w:r>
    </w:p>
    <w:p>
      <w:r>
        <w:t>48.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49.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50. McKinney W. 2010. Data structures for statistical computing in Python. Proceedings of the 9th Python in Science Conference 56-61. https://doi.org/10.25080/Majora-92bf1922-00a.</w:t>
      </w:r>
    </w:p>
    <w:p>
      <w:r>
        <w:t>51. Seabold S, Perktold J. 2010. Statsmodels: econometric and statistical modeling with Python. Proceedings of the 9th Python in Science Conference 92-96. https://doi.org/10.25080/Majora-92bf1922-011.</w:t>
      </w:r>
    </w:p>
    <w:p>
      <w:r>
        <w:t>52. Davidson-Pilon C. 2019. lifelines: survival analysis in Python. J Open Source Softw 4:1317. https://doi.org/10.21105/joss.01317.</w:t>
      </w:r>
    </w:p>
    <w:p>
      <w:r>
        <w:t xml:space="preserve">53.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54.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