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The detection floor bounds tolerance endpoints in Mycobacterium tuberculosis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 a count read off a dilution series rather than off colonies on a plate —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 recording them only as "below the floor", with the true value unknown —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 10 to 400 CFU/mL across the deposits reanalysed here —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and none was generated for this study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 the six isolates sitting on </w:t>
      </w:r>
      <w:r>
        <w:rPr>
          <w:i/>
        </w:rPr>
        <w:t>N</w:t>
      </w:r>
      <w:r>
        <w:t>_id itself, where the strict inequality leaves the class undecidable —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 same flask, same afternoon —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 read as below the floor rather than as a number —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 twelve at the 100 µL plating against fifty-six across every laboratory and volume —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 that resistance carries a fitness cost —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 3.0 to 72.4 per cent —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 a cluster-robust standard error —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 a fit built for ranked categories —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 how cloudy the tube looks, matched optically (22) —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 untreated, day zero, 100 µL. That is not the basis of Table S7, and the two are not expected to match.</w:t>
      </w:r>
    </w:p>
    <w:p>
      <w:r>
        <w:t>Read as headroom at a fixed plating volume, the spread is Δ</w:t>
      </w:r>
      <w:r>
        <w:rPr>
          <w:i/>
        </w:rPr>
        <w:t>h</w:t>
      </w:r>
      <w:r>
        <w:t xml:space="preserve"> = 2.33 log10 — a 216-fold difference in how far down the assay can look, under one written protocol (Table S19).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 computed from the unrounded median, which Table S19 displays rounded to 6.08 log10.</w:t>
      </w:r>
    </w:p>
    <w:p>
      <w:r>
        <w:t>Distance from the McFarland reference is descriptive and is reported as such (Table S20). Sitting far below it is the intended state, since the inoculum is prepared by diluting from it, and the figure is not a measure of protocol compliance. What sets the deepest log-kill an experiment can show is the measured starting density and the real assay floor —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 with 45 further pairs that the censoring could not settle, which are excluded rather than imputed — </w:t>
      </w:r>
      <w:r>
        <w:rPr>
          <w:b/>
        </w:rPr>
        <w:t>66 pairs — 34.6 per cent — are inversions</w:t>
      </w:r>
      <w:r>
        <w:t xml:space="preserve">: the flask in which the population fell faster crossed below the assay floor later (Table S21).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 a pair inverts when the distance ratio exceeds the rate ratio —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 a difference no reader would dispute —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 to 70.4 per cent at ten times isoniazid and 62.3 per cent at ten times moxifloxacin — and a bootstrap over whole laboratories straddles a half in all three (Table S21).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S21). The inoculum contributes a sizeable minority of the variance in crossing time —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S22).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 and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 the value 10 µL plating would give, an assumption and not a derivation —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S23 — the standard correction for a family of tests — are set against 24, not against the size of any one subgroup. Four are significant before correction, where 1.2 are expected by chance, and none survives it (Fig. S2, Table S23). All four point the wrong way: a higher inhibitory concentration goes with a </w:t>
      </w:r>
      <w:r>
        <w:rPr>
          <w:i/>
        </w:rPr>
        <w:t>shorter</w:t>
      </w:r>
      <w:r>
        <w:t xml:space="preserve"> killing time, which is not the direction a shared mechanism predicts. And they cluster at the deepest endpoint — the one Section 1 shows is compromised. Across all 24 tests the weakest correlation this design could have detected runs 0.14 to 0.25 depending on the subgroup; the six strongest, which Table S23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S24).</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 a probability spread across which rung is the real floor —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 23 000 for six isolates, then 230 000 for eight, and 610 000, 2.3 × 10⁶ and 6.1 × 10⁶ for one, one and two —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S15), and a posterior over class gives the same answer in probabilistic form —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 low, then medium, then high —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 that a single odds ratio serves both cut points —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 that nothing unmeasured drives both the starting density and the class —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 it is the quantity a reader wants, because it says how much of the association is carried by the label's own denominator —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But the deposit carries no patient identifier: Archive and Sample-ID are unique to each row, and none of the 48 columns repeats the way a patient key would have to. The pairing cannot be recovered, so no standard error can be clustered on the true grouping, and we do not pretend otherwise. What is available is the exact substitute, a baseline-only stratum in which every isolate is from a different patient by construction (Time_point = 0M, n = 167 at 15 days).</w:t>
      </w:r>
    </w:p>
    <w:p>
      <w:r>
        <w:t>These 217 isolates are not 217 independent patients, and the deposit carries no patient key with which to say so in a standard error. What it does carry is the exact substitute: a baseline-only stratum in which every isolate comes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 it costs the bacterium almost nothing to carry (18, 19). What the deposit can rule out is less than we first reported, and the correction runs in our favour.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 they are missing on exactly the same rows and hand the fit the same design matrix. That also disposes of the largest attenuation we previously quoted, 22 per cent for the mutation identity, which was an artefact of the same circularity. The two Mykrobe columns hold a single value wherever they are recorded in this stratum, so no adjusted coefficient exists for them at all and Table S25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 no resistant isolate overlaps any susceptible one —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S25,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S25). The seeding gap is therefore more robust than the earlier sweep suggested, not less.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 210 isolates appear in both —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 the 29 treated flasks above and three untreated ones —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 the 48 treated flasks above and five untreated ones —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 that probability is 1.00 in untreated series, 0.37 to 0.92 at one times MIC and 0.07 to 0.18 at ten times — which says the event is at least partly a property of the plate rather than of the drug. Of the 360 series, only 56, or 15.6 per cent, show the shape a survival model assumes: one crossing that holds (Table S26).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 the crossing recorded as lying somewhere inside a window rather than at a point (29) —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 the crossing happened after the last visit that read above the floor, and at or before the first that read below —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 17 published deposits and this paper's own experiment: stated by the depositor, derived from a recorded plated volume, or inferred from a pile-up of counts on a plate-plausible value. Across those, the condition the boundaries imply — that no series may present as a measurement a reduction deeper than its own floor allows —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 B from 0.093 to 0.264, D from 0.015 to 0.138, E from 0.016 to 0.172 and F from 0.015 to 0.576 —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stood in Figure 2 in an earlier version and are here because each had to disclaim itself in its own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 the value 10 µL plating would give —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 the share of sample-times at which the two platings' recorded fractions fall on opposite sides of a class cut, as the cut moves; the marked line is the cut the clinical classification of Section 2 uses.</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S17.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S19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S15.</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S16.</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S17.</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S18.</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S19.</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S20.</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S21.</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S22.</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S23.</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S24.</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