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pPr>
        <w:spacing w:before="240"/>
      </w:pPr>
      <w:r>
        <w:rPr>
          <w:b/>
          <w:sz w:val="22"/>
        </w:rPr>
        <w:t>The five deposits analysed</w:t>
      </w:r>
    </w:p>
    <w:p>
      <w:r>
        <w:t>Five published deposits are analysed (Table 3), four carrying the analysis and the fifth held out to test it: opened only after every boundary and threshold was fixed, and used nowhere else in the paper except to confirm them (Section 7).</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 100 µL quadruplicate, 10 µL as four drops, 10 µL as a single drop, and 2.5 µL as a single drop —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Validation deposit, analysed only after both boundaries were fixed.</w:t>
      </w:r>
      <w:r>
        <w:t xml:space="preserve"> Amoxicillin-clavulanate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pPr>
        <w:spacing w:before="240"/>
      </w:pPr>
      <w:r>
        <w:rPr>
          <w:b/>
          <w:sz w:val="22"/>
        </w:rPr>
        <w:t>The prospective experiment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Two kinds of limit, kept apart (operational assay floor vs. reported limit of quantification)</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 it is the smallest value in the file, nothing lies below it in 1,932 readings, and the minimum shifts by exactly a factor of ten per culture age. The number of isolates lacking four logs of headroom is 33 at this floor and does not fall below 28 at 3.0 MPN/mL, the lowest value the deposit's own MPN table admits, so the conclusion holds across the range (Table S14).</w:t>
      </w:r>
    </w:p>
    <w:p>
      <w:r>
        <w:t xml:space="preserve">A volume-derived plate floor bounds the true count from above, [0, </w:t>
      </w:r>
      <w:r>
        <w:rPr>
          <w:i/>
        </w:rPr>
        <w:t>L</w:t>
      </w:r>
      <w:r>
        <w:t>]; an MPN rung does not, since its 95 per cent profile interval extends well above the rung (3 to 120 per mL under the deposit's own design). Every identifiability verdict was recomputed under this likelihood instead of the plate-sweep bound (Table S15): 12 of 18 floored isolates admit one class and six admit two at 15 days, identically under both treatments, because the floored isolates' starting densities sit far from the shifted threshold even at the widest 99 per cent bound.</w:t>
      </w:r>
    </w:p>
    <w:p>
      <w:r>
        <w:t>The six-laboratory deposit plates each sample at four volumes at the same visit, so a below-limit flag can be checked against the other platings of the same flask: 16.7 per cent of its 498 flags are contradicted by a more sensitive plating of the same sample recording a quantified count. Each reading is therefore judged against its own volume's floor rather than pooled to the least sensitive one, which would additionally discard 5.9 per cent of genuine quantified counts.</w:t>
      </w:r>
    </w:p>
    <w:p>
      <w:r>
        <w:t xml:space="preserve">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pPr>
        <w:spacing w:before="240"/>
      </w:pPr>
      <w:r>
        <w:rPr>
          <w:b/>
          <w:sz w:val="22"/>
        </w:rPr>
        <w:t>Posterior probability of assay floors, and what remains unresolved</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 once </w:t>
      </w:r>
      <w:r>
        <w:rPr>
          <w:i/>
        </w:rPr>
        <w:t>L</w:t>
      </w:r>
      <w:r>
        <w:t xml:space="preserve"> is in hand the rest is derived.</w:t>
      </w:r>
    </w:p>
    <w:p>
      <w:r>
        <w:t xml:space="preserve">The same likelihood turns classification into an inference with its own refusal rule: given a floor reading, the posterior over the true count maps through starting density to a posterior over class, and an isolate is refused when no class reaches 95 per cent (Table S12). At 15 days the twelve isolates recorded as Low are confirmed (P(Low) ≥ 0.999); the six recorded as Medium are refused, their posterior split almost evenly across the threshold the deposit drew at </w:t>
      </w:r>
      <w:r>
        <w:rPr>
          <w:i/>
        </w:rPr>
        <w:t>L</w:t>
      </w:r>
      <w:r>
        <w:t>/</w:t>
      </w:r>
      <w:r>
        <w:rPr>
          <w:i/>
        </w:rPr>
        <w:t>N</w:t>
      </w:r>
      <w:r>
        <w:t>₀ = 10⁻³. The refusal holds across both well designs, both floor readings and two priors.</w:t>
      </w:r>
    </w:p>
    <w:p>
      <w:pPr>
        <w:spacing w:before="240"/>
      </w:pPr>
      <w:r>
        <w:rPr>
          <w:b/>
          <w:sz w:val="22"/>
        </w:rPr>
        <w:t>Causal mediation of the resistance association</w:t>
      </w:r>
    </w:p>
    <w:p>
      <w:r>
        <w:t xml:space="preserve">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pPr>
        <w:spacing w:before="240"/>
      </w:pPr>
      <w:r>
        <w:rPr>
          <w:b/>
          <w:sz w:val="22"/>
        </w:rPr>
        <w:t>What each analysis was fitted to</w:t>
      </w:r>
    </w:p>
    <w:p>
      <w:r>
        <w:t>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 the only difference not attributable to the exclusion rule itself is that the 60-day panel's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Estimation</w:t>
      </w:r>
    </w:p>
    <w:p>
      <w:r>
        <w:t xml:space="preserve">A </w:t>
      </w:r>
      <w:r>
        <w:rPr>
          <w:b/>
        </w:rPr>
        <w:t>Tobit model</w:t>
      </w:r>
      <w:r>
        <w:t xml:space="preserve"> fits log10 CFU/mL linearly in time by maximum likelihood (31); a censored reading contributes log Φ((limit − µ)/σ), the probability it fell below its own limit — Beal's M3 written for this assay (32). </w:t>
      </w:r>
      <w:r>
        <w:rPr>
          <w:b/>
        </w:rPr>
        <w:t>Multiple imputation</w:t>
      </w:r>
      <w:r>
        <w:t xml:space="preserve"> draws each censored reading from the fitted normal truncated at its own limit, refits by ordinary least squares, and pools 50 fits by Rubin's rules (33); the two estimators'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is modelled as an ordered categorical outcome by proportional-odds ordinal logistic regression (34), with starting density as a prespecified covariate; proportional odds is tested by a Brant test per predictor (35) and a likelihood-ratio test against a generalised ordered logit (36), with the partial-proportional-odds fit reported where it fails and checked against a multinomial fit assuming no ordering (Table S18).</w:t>
      </w:r>
    </w:p>
    <w:p>
      <w:r>
        <w:rPr>
          <w:b/>
        </w:rPr>
        <w:t>Time-to-event analysis</w:t>
      </w:r>
      <w:r>
        <w:t xml:space="preserve"> treats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 reported instead of the least-squares fit through the deposited concentration means, which has two residual degrees of freedom and discards the replicate scatter. An interval on a proportion is the Jeffreys interval (44), which does not collapse to zero width at the sample sizes here.</w:t>
      </w:r>
    </w:p>
    <w:p>
      <w:r>
        <w:t>Four procedures are implemented in the released analysis code rather than taken from a package — the Brant test, the partial-proportional-odds fit, the product-of-coefficients mediation, and the residual-correlation sensitivity — in `exp30_ordinal_tolerance.py` and `exp34_mediation.py`; the partial-proportional-odds likelihood is validated against the proportional-odds fit it nests, agreeing to 1.0 × 10⁻¹⁰ in log-likelihood.</w:t>
      </w:r>
    </w:p>
    <w:p>
      <w:pPr>
        <w:spacing w:before="240"/>
      </w:pPr>
      <w:r>
        <w:rPr>
          <w:b/>
          <w:sz w:val="22"/>
        </w:rPr>
        <w:t>The decomposition of a crossing time</w:t>
      </w:r>
    </w:p>
    <w:p>
      <w:r>
        <w:t xml:space="preserve">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pPr>
        <w:spacing w:before="240"/>
      </w:pPr>
      <w:r>
        <w:rPr>
          <w:b/>
          <w:sz w:val="22"/>
        </w:rPr>
        <w:t>Multiplicity</w:t>
      </w:r>
    </w:p>
    <w:p>
      <w:r>
        <w:t>Where a question admits more than one test, every test the deposit supports is run, and the family is corrected by the Benjamini–Hochberg procedure (45) at a false discovery rate of 5 per cent.</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r>
        <w:t>Analyses used Python 3.14 with numpy 2.5.0 (46), scipy 1.18.0 (47), pandas 3.0.3 (48), statsmodels 0.15.0 (49) and lifelines 0.30.3 (50).</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2f2728a+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