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Results, Discussion and Conclusion</w:t>
      </w:r>
    </w:p>
    <w:p>
      <w:pPr>
        <w:spacing w:before="240"/>
      </w:pPr>
      <w:r>
        <w:rPr>
          <w:b/>
          <w:sz w:val="22"/>
        </w:rPr>
        <w:t>1. The plate's floor sets how far down killing can be seen</w:t>
      </w:r>
    </w:p>
    <w:p>
      <w:r>
        <w:t>Most-probable-number (MPN) readings take only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affected isolates are named before the drug is added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The label tracks how fast an isolate grows, and its link to resistance cannot be separated from the inoculum</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same boundaries hold in an experiment the framework never saw</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What the plate misses is not only what lies below its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(12).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(13), both dependent and independent differentially culturable populations are recovered from patients whose solid-medium cultures return nothing (14), and the mechanism has been reproduced experimentally, rifamycin action on ribonucleic acid (RNA) polymerase converting a starved population to over 90 per cent differentially detectable in vitro (15),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S1_survival_and_cox.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w:t>
      </w:r>
    </w:p>
    <w:p>
      <w:pPr>
        <w:spacing w:line="240" w:lineRule="auto"/>
        <w:jc w:val="center"/>
      </w:pPr>
      <w:r>
        <w:drawing>
          <wp:inline xmlns:a="http://schemas.openxmlformats.org/drawingml/2006/main" xmlns:pic="http://schemas.openxmlformats.org/drawingml/2006/picture">
            <wp:extent cx="5486400" cy="5155678"/>
            <wp:docPr id="3" name="Picture 3"/>
            <wp:cNvGraphicFramePr>
              <a:graphicFrameLocks noChangeAspect="1"/>
            </wp:cNvGraphicFramePr>
            <a:graphic>
              <a:graphicData uri="http://schemas.openxmlformats.org/drawingml/2006/picture">
                <pic:pic>
                  <pic:nvPicPr>
                    <pic:cNvPr id="0" name="fig4_independence.png"/>
                    <pic:cNvPicPr/>
                  </pic:nvPicPr>
                  <pic:blipFill>
                    <a:blip r:embed="rId12"/>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4" name="Picture 4"/>
            <wp:cNvGraphicFramePr>
              <a:graphicFrameLocks noChangeAspect="1"/>
            </wp:cNvGraphicFramePr>
            <a:graphic>
              <a:graphicData uri="http://schemas.openxmlformats.org/drawingml/2006/picture">
                <pic:pic>
                  <pic:nvPicPr>
                    <pic:cNvPr id="0" name="fig3_endpoint_collapse.png"/>
                    <pic:cNvPicPr/>
                  </pic:nvPicPr>
                  <pic:blipFill>
                    <a:blip r:embed="rId13"/>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w:t>
      </w:r>
    </w:p>
    <w:p>
      <w:pPr>
        <w:spacing w:line="240" w:lineRule="auto"/>
        <w:jc w:val="center"/>
      </w:pPr>
      <w:r>
        <w:drawing>
          <wp:inline xmlns:a="http://schemas.openxmlformats.org/drawingml/2006/main" xmlns:pic="http://schemas.openxmlformats.org/drawingml/2006/picture">
            <wp:extent cx="5486400" cy="4650059"/>
            <wp:docPr id="5" name="Picture 5"/>
            <wp:cNvGraphicFramePr>
              <a:graphicFrameLocks noChangeAspect="1"/>
            </wp:cNvGraphicFramePr>
            <a:graphic>
              <a:graphicData uri="http://schemas.openxmlformats.org/drawingml/2006/picture">
                <pic:pic>
                  <pic:nvPicPr>
                    <pic:cNvPr id="0" name="fig3_endpoint_collapse.png"/>
                    <pic:cNvPicPr/>
                  </pic:nvPicPr>
                  <pic:blipFill>
                    <a:blip r:embed="rId13"/>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5128137"/>
            <wp:docPr id="6" name="Picture 6"/>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