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affected isolates are named before the drug is added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The label tracks how fast an isolate grows, and its link to resistance cannot be separated from the inoculum</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same boundaries hold in an experiment the framework never saw</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What the plate misses is not only what lies below its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(8, 9).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(Section 6).</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(10, 11). It was the only deposit found carrying all three fields the boundaries require, and no boundary, threshold or modelling choice in this paper was informed by it; it is used nowhere else in the paper except to confirm them (Text S3).</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(8, 9), Windels and colleagues (23, 24), Kaur and colleagues (25, 26), and the hollow-fibre Source Data of Dubey and colleagues (10, 11),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c00066d+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13. Mukamolova GV, Turapov O, Malkin J, Woltmann G, Barer MR. 2010. Resuscitation-promoting factors reveal an occult population of tubercle bacilli in sputum. Am J Respir Crit Care Med 181:174-180. https://doi.org/10.1164/rccm.200905-0661OC.</w:t>
      </w:r>
    </w:p>
    <w:p>
      <w:r>
        <w:t>14.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15.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