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 a count read off a dilution series rather than off colonies on a plate —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 recording them only as "below the floor", with the true value unknown —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 read as below the floor rather than as a number —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 3.0 to 72.4 per cent —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 a cluster-robust standard error —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(22) —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S7, and the two are not expected to match.</w:t>
      </w:r>
    </w:p>
    <w:p>
      <w:r>
        <w:t>Read as headroom at a fixed plating volume, the spread is Δ</w:t>
      </w:r>
      <w:r>
        <w:rPr>
          <w:i/>
        </w:rPr>
        <w:t>h</w:t>
      </w:r>
      <w:r>
        <w:t xml:space="preserve"> = 2.33 log10 — a 216-fold difference in how far down the assay can look, under one written protocol (Table S19).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 computed from the unrounded median, which Table S19 displays rounded to 6.08 log10.</w:t>
      </w:r>
    </w:p>
    <w:p>
      <w:r>
        <w:t>Distance from the McFarland reference is descriptive and is reported as such (Table S20).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 with 45 further pairs that the censoring could not settle, which are excluded rather than imputed — </w:t>
      </w:r>
      <w:r>
        <w:rPr>
          <w:b/>
        </w:rPr>
        <w:t>66 pairs — 34.6 per cent — are inversions</w:t>
      </w:r>
      <w:r>
        <w:t xml:space="preserve">: the flask in which the population fell faster crossed below the assay floor later (Table S21).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 a pair inverts when the distance ratio exceeds the rate ratio —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 a difference no reader would dispute —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 to 70.4 per cent at ten times isoniazid and 62.3 per cent at ten times moxifloxacin — and a bootstrap over whole laboratories straddles a half in all three (Table S21).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S21). The inoculum contributes a sizeable minority of the variance in crossing time —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S22).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S23 — the standard correction for a family of tests — are set against 24, not against the size of any one subgroup. Four are significant before correction, where 1.2 are expected by chance, and none survives it (Fig. S2, Table S23). All four point the wrong way: a higher inhibitory concentration goes with a </w:t>
      </w:r>
      <w:r>
        <w:rPr>
          <w:i/>
        </w:rPr>
        <w:t>shorter</w:t>
      </w:r>
      <w:r>
        <w:t xml:space="preserve"> killing time, which is not the direction a shared mechanism predicts. And they cluster at the deepest endpoint — the one Section 1 shows is compromised. Across all 24 tests the weakest correlation this design could have detected runs 0.14 to 0.25 depending on the subgroup; the six strongest, which Table S23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S24).</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S16).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S15), and a posterior over class gives the same answer in probabilistic form —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 low, then medium, then high —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 that a single odds ratio serves both cut points —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S25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 no resistant isolate overlaps any susceptible one —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S25,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S25).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 the 29 treated flasks above and three untreated ones —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 the 48 treated flasks above and five untreated ones —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 that probability is 1.00 in untreated series, 0.37 to 0.92 at one times MIC and 0.07 to 0.18 at ten times — which says the event is at least partly a property of the plate rather than of the drug. Of the 360 series, only 56, or 15.6 per cent, show the shape a survival model assumes: one crossing that holds (Table S26).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 the crossing recorded as lying somewhere inside a window rather than at a point (29) —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 the crossing happened after the last visit that read above the floor, and at or before the first that read below —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 17 published deposits and this paper's own experiment: stated by the depositor, derived from a recorded plated volume, or inferred from a pile-up of counts on a plate-plausible value. Across those, the condition the boundaries imply — that no series may present as a measurement a reduction deeper than its own floor allows —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 B from 0.093 to 0.264, D from 0.015 to 0.138, E from 0.016 to 0.172 and F from 0.015 to 0.576 —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 the share of sample-times at which the two platings' recorded fractions fall on opposite sides of a class cut, as the cut moves; the marked line is the cut the clinical classification of Section 2 uses.</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S19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S15.</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S16.</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S19.</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S20.</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S21.</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S22.</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S23.</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S24.</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