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¹Independent Researcher, New York, NY, USA</w:t>
      </w:r>
    </w:p>
    <w:p>
      <w:r>
        <w:t>ORCID: [0000-0003-3653-5739](https://orcid.org/0000-0003-3653-5739)</w:t>
      </w:r>
    </w:p>
    <w:p>
      <w:r>
        <w:rPr>
          <w:b/>
        </w:rPr>
        <w:t>Correspondence:</w:t>
      </w:r>
      <w:r>
        <w:t xml:space="preserve"> Vahhab Piranfar, vahab.p@gmail.com</w:t>
      </w:r>
    </w:p>
    <w:p>
      <w:r>
        <w:rPr>
          <w:b/>
        </w:rPr>
        <w:t>Figures:</w:t>
      </w:r>
      <w:r>
        <w:t xml:space="preserve"> 3 | </w:t>
      </w:r>
      <w:r>
        <w:rPr>
          <w:b/>
        </w:rPr>
        <w:t>Tables:</w:t>
      </w:r>
      <w:r>
        <w:t xml:space="preserve"> 3 | </w:t>
      </w:r>
      <w:r>
        <w:rPr>
          <w:b/>
        </w:rPr>
        <w:t>Boxes:</w:t>
      </w:r>
      <w:r>
        <w:t xml:space="preserve"> 1 | </w:t>
      </w:r>
      <w:r>
        <w:rPr>
          <w:b/>
        </w:rPr>
        <w:t>Supplemental figures:</w:t>
      </w:r>
      <w:r>
        <w:t xml:space="preserve"> 2 | </w:t>
      </w:r>
      <w:r>
        <w:rPr>
          <w:b/>
        </w:rPr>
        <w:t>Supplemental tables:</w:t>
      </w:r>
      <w:r>
        <w:t xml:space="preserve"> 22</w:t>
      </w:r>
    </w:p>
    <w:p>
      <w:pPr>
        <w:spacing w:before="240"/>
      </w:pPr>
      <w:r>
        <w:rPr>
          <w:b/>
          <w:sz w:val="24"/>
        </w:rPr>
        <w:t>Abstract</w:t>
      </w:r>
    </w:p>
    <w:p>
      <w:r>
        <w:t>A culture that grows nothing after antibiotics has never proved sterility, so tolerance is scored by how far the count fell: the minimum duration for killing. That endpoint is a fraction of the starting count, so the inoculum should cancel. It does in the definition, and fails once killing reaches the assay's floor. Seventy-eight published time-kill datasets were screened: of the 45 whose series could be inspected in full, 36 state no assay floor by any route. Five are reanalysed here — the floor derived in two, inferred in one and absent in two — and one experiment tests this.</w:t>
      </w:r>
    </w:p>
    <w:p>
      <w:r>
        <w:t xml:space="preserve">Two boundaries follow from the definitions. For a floor </w:t>
      </w:r>
      <w:r>
        <w:rPr>
          <w:i/>
        </w:rPr>
        <w:t>L</w:t>
      </w:r>
      <w:r>
        <w:t xml:space="preserve">, a </w:t>
      </w:r>
      <w:r>
        <w:rPr>
          <w:i/>
        </w:rPr>
        <w:t>q</w:t>
      </w:r>
      <w:r>
        <w:t xml:space="preserve">-log endpoint is visible only above </w:t>
      </w:r>
      <w:r>
        <w:rPr>
          <w:i/>
        </w:rPr>
        <w:t>L</w:t>
      </w:r>
      <w:r>
        <w:t>·10^</w:t>
      </w:r>
      <w:r>
        <w:rPr>
          <w:i/>
        </w:rPr>
        <w:t>q</w:t>
      </w:r>
      <w:r>
        <w:t xml:space="preserve">; above </w:t>
      </w:r>
      <w:r>
        <w:rPr>
          <w:i/>
        </w:rPr>
        <w:t>L</w:t>
      </w:r>
      <w:r>
        <w:t>/</w:t>
      </w:r>
      <w:r>
        <w:rPr>
          <w:i/>
        </w:rPr>
        <w:t>c</w:t>
      </w:r>
      <w:r>
        <w:t xml:space="preserve">₁, with </w:t>
      </w:r>
      <w:r>
        <w:rPr>
          <w:i/>
        </w:rPr>
        <w:t>c</w:t>
      </w:r>
      <w:r>
        <w:t>₁ the lowest class threshold, a floor-level reading fits only the lowest class. Reaching the floor is the drug's doing; the label it permits is not.</w:t>
      </w:r>
    </w:p>
    <w:p>
      <w:r>
        <w:t xml:space="preserve">Of 217 </w:t>
      </w:r>
      <w:r>
        <w:rPr>
          <w:i/>
        </w:rPr>
        <w:t>Mycobacterium tuberculosis</w:t>
      </w:r>
      <w:r>
        <w:t xml:space="preserve"> isolates classified for rifampicin tolerance, 33 began too close to the floor to show the 99.99 per cent reduction used, and all 33 are recorded as failing. Of eighteen read at the floor, twelve admit one class, six admit two. The label tracks growth state, not isoniazid resistance; most of that runs through a ten-fold lower inoculum — the denominator it is cut on.</w:t>
      </w:r>
    </w:p>
    <w:p>
      <w:r>
        <w:t xml:space="preserve">Prospectively, </w:t>
      </w:r>
      <w:r>
        <w:rPr>
          <w:i/>
        </w:rPr>
        <w:t>Escherichia coli</w:t>
      </w:r>
      <w:r>
        <w:t xml:space="preserve"> ATCC 25922 at the standard inoculum could report 3.71–3.93 logs at 10 µL and 4.88–5.05 at 100 µL; at a cut of 10⁻³, six of 54 sample-times took two labels from one culture, the pipette alone deciding. Across the plated volumes these laboratories actually used, 100 down to 2.5 µL, demonstrable depth moves by 1.60 log10 as exact arithmetic. A tolerance call reported without its starting density and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w:t>
      </w:r>
    </w:p>
    <w:p>
      <w:r>
        <w:t>The experiment is simple. Grow the organism, add the drug, and at set times take a sample, dilute it, spread it on a plate, and count the colonies. Each colony stands for one bacterium that was alive when it was plated.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not to ignore the warning but to engineer around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(3).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We assembled and inspected 78 candidate time-kill datasets one at a time. Of the 45 whose series could be read in full, </w:t>
      </w:r>
      <w:r>
        <w:rPr>
          <w:b/>
        </w:rPr>
        <w:t>36 state no assay floor by any route</w:t>
      </w:r>
      <w:r>
        <w:t>: not a limit of detection, not a limit of quantification, not a plated volume from which one could be derived. That number is not a preamble to the analysis; it is the first result, and it is why the five deposits carried forward are five rather than fifty.</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(4, 5), a concentration-by-time grid in the same organism (6, 7), a panel of evolved clones in which the concentration and duration axes can be checked for independence (8), and a hollow-fibre deposit (9, 10) held out until every boundary was fixed. All five are published and openly licensed, and none was generated for this study (Table 1). The two boundaries are then tested forward rather than backward, in a prospective experiment built to break them, with every prediction written down before a plate was counted.</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(11, 12).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(11, 12)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The deposit never states its limit of quantification (13),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That is the same count as at day 5, and it is a coincidence of this deposit rather than one number written into two places: the two columns rest on different floors and share no reading. The day-2 class thresholds are not stated in the source either, and they are recovered the same way as the day-5 ones: cuts at 10⁻² and 10⁻¹ reproduce all 203 usable day-2 classes with no disagreement, one decade shallower than at day 5. Floor and lowest threshold both shift by a factor of ten, so the identifiability boundary does not move: </w:t>
      </w:r>
      <w:r>
        <w:rPr>
          <w:i/>
        </w:rPr>
        <w:t>N</w:t>
      </w:r>
      <w:r>
        <w:t>_id = 230/10⁻² = 23 000 per mL, the same value as at day 5. The reachability boundary does move, by a decade, and the consequence is large. Against the day-2 floor, 121 of 203 isolates have too little room for a four-log reduction; against the day-5 floor, 31 of those 203 isolates do. Eighteen day-2 readings rest on their floor, eleven with a single compatible class and seven with more than one. At 60 days no pair of decade cuts reproduces the day-2 classes (109 of 197), so that rule is not a decade threshold on the recorded fraction, and no day-2 accounting is offered for it.</w:t>
      </w:r>
    </w:p>
    <w:p>
      <w:r>
        <w:t xml:space="preserve">Each isolate therefore carries a fixed budget of killing the assay can see. At 15 days of prior culture the starting densities span 3.36 to 7.79 log10, so headroom — the distance from the starting density down to the floor — spans 2.00 to 6.42 log10 (Fig. 1B, Table 2). Both spans are the same 4.42 log10, and the fold figures quoted throughout are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the 31 quoted above.</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3). That is a statement about the classification step and not about the killing: once a reading is censored at the floor, the starting density fixes which label the published rule is able to return.</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 for twelve of the eighteen the recorded label carries no information beyond the fact that the reading was censored, and for six it is not determinate at all. None of the eighteen is a measurement of the surviving fraction.</w:t>
      </w:r>
    </w:p>
    <w:p>
      <w:r>
        <w:t>Sorting every call in the panel this way separates the labels the assay measured from the labels the censoring rule fixed (Table 3).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(14));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We call that attenuation, not elimination.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(15), and 26.2 per cent of them lack the headroom for the deepest endpoint against 7.6 per cent of susceptible isolates (Section 2). They are one log short of observable killing before the experiment begins.</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S5).</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In that stratum the two surviving associations part company. Growth holds and still survives correction (OR 1.116, 1.040 to 1.198, p = 0.0024). Resistance does not: OR 2.11 (1.07 to 4.16, p = 0.031). It ranks second in the family of eight, so under Benjamini–Hochberg it must beat a critical value of 0.0125, and it does not. The resistance association therefore leans on isolates that are not independent of one another, and it is already the association that starting density explains away. We report it as the weaker of the two on both counts.</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(16), eleven leave the floor and none joins it (p = 9.8 × 10⁻⁴), and every isolate whose headroom changes gains (Wilcoxon signed-rank p = 1.3 × 10⁻³³) (17).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5.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(4, 5).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S6).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 &lt;!--supp--&gt;### 6.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(18).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(19) — and cloudiness counts live cells, dead cells, debris and a clump of cells all as one particle (19). Converting it to CFU/mL assumes a cell size, a shape and a dispersal that </w:t>
      </w:r>
      <w:r>
        <w:rPr>
          <w:i/>
        </w:rPr>
        <w:t>M. tuberculosis</w:t>
      </w:r>
      <w:r>
        <w:t xml:space="preserve"> does not oblige, and tuberculosis protocols work from a range of dilutions and target inocula (20).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S6, and the two are not expected to match.</w:t>
      </w:r>
    </w:p>
    <w:p>
      <w:r>
        <w:t>Read as headroom at a fixed plating volume, the spread is Δ</w:t>
      </w:r>
      <w:r>
        <w:rPr>
          <w:i/>
        </w:rPr>
        <w:t>h</w:t>
      </w:r>
      <w:r>
        <w:t xml:space="preserve"> = 2.33 log10 — a 216-fold difference in how far down the assay can look, under one written protocol (Table S7).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(9, 10) gives the same result against its own stated figure rather than against a standard: its Methods specify 10⁵ CFU/mL and its file measures 7 × 10⁵ to 2.8 × 10⁶, a median of 1.215 × 10⁶ and so 12.15-fold above nominal — computed from the unrounded median, which Table S7 displays rounded to 6.08 log10.</w:t>
      </w:r>
    </w:p>
    <w:p>
      <w:r>
        <w:t>Distance from the McFarland reference is descriptive and is reported as such (Table S8).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6.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w:t>
      </w:r>
    </w:p>
    <w:p>
      <w:r>
        <w:t>The point of this section is a deposit opened after every boundary and threshold was fixed, and only one deposit qualifies on that ground.</w:t>
      </w:r>
    </w:p>
    <w:p>
      <w:r>
        <w:t xml:space="preserve">Dubey and colleagues (2026) report amoxicillin-clavulanate against </w:t>
      </w:r>
      <w:r>
        <w:rPr>
          <w:i/>
        </w:rPr>
        <w:t>Escherichia coli</w:t>
      </w:r>
      <w:r>
        <w:t xml:space="preserve"> in a hollow-fibre system (9, 10).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so that sample was drawn after exposure rather than before it.</w:t>
      </w:r>
    </w:p>
    <w:p>
      <w:pPr>
        <w:spacing w:before="240"/>
      </w:pPr>
      <w:r>
        <w:rPr>
          <w:b/>
          <w:sz w:val="22"/>
        </w:rPr>
        <w:t>7. Read the plate late enough and the concentration response reverses</w:t>
      </w:r>
    </w:p>
    <w:p>
      <w:r>
        <w:t>The deposit tests apramycin at 1, 4, 8, 32 and 128 µg/mL (6, 7). The 1 µg/mL flasks grow rather than die, so that arm is left out of the dose comparison. What remains is 4 to 128 µg/mL: 32-fold, five doublings. Across that range the survivor counts spread out 6.9-fold at day 3, 48.2-fold at day 7 and 5.2-fold at day 14 (Fig. 3, Table S10).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which is a distinction this experiment cannot leave implicit, because it decides a verdict. Taking the low arm as a single number gives it 3.81 logs of headroom at the 100 µL plating and rules the four-log endpoint out; taking its three flasks one at a time gives 4.19, 4.11 and 4.00, and rules it in for all three. The arithmetic is the same and the answer is opposite, because </w:t>
      </w:r>
      <w:r>
        <w:rPr>
          <w:i/>
        </w:rPr>
        <w:t>N</w:t>
      </w:r>
      <w:r>
        <w:t xml:space="preserve">₀ is not a setting the protocol supplies but a measurement made once per flask — which is this paper's own argument, met in its own data.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(Table S11). Every flask is paired with itself across the two platings, so the comparison is within a culture rather than between cultures.</w:t>
      </w:r>
    </w:p>
    <w:p>
      <w:r>
        <w:t xml:space="preserve">The gain the pipette buys is exactly one log, because the floor at the pooled 100 µL plating is one tenth of the floor at the pooled 10 µL plating. The nine paired gains are not exactly one log: they run 0.87 to 1.19 (Table S11).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(Table S12). Put the cut at one per cent and the window is nearly shut. Put it at one in a thousand, which is where the clinical classification analysed above cuts its lowest class, and six of 54 sample-times receive two different labels from one culture — one in nine.</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Discussion</w:t>
      </w:r>
    </w:p>
    <w:p>
      <w:r>
        <w:t>Every clinical microbiologist knows that a negative culture taken under antibiotic exposure is not proof of sterility. That is not what this paper reports. What it reports is that the number brought in to replace that judgement carries the same defect — and once it is a number, it is harder to see.</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settles it.</w:t>
      </w:r>
    </w:p>
    <w:p>
      <w:r>
        <w:t xml:space="preserve">It is worth saying how far this reaches. The claim is scoped to the floor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So what fails everywhere is not every tolerance call. It is the </w:t>
      </w:r>
      <w:r>
        <w:rPr>
          <w:i/>
        </w:rPr>
        <w:t>interpretability</w:t>
      </w:r>
      <w:r>
        <w:t xml:space="preserve"> of a deep log-reduction call reported without </w:t>
      </w:r>
      <w:r>
        <w:rPr>
          <w:i/>
        </w:rPr>
        <w:t>N₀</w:t>
      </w:r>
      <w:r>
        <w:t xml:space="preserve"> and </w:t>
      </w:r>
      <w:r>
        <w:rPr>
          <w:i/>
        </w:rPr>
        <w:t>L</w:t>
      </w:r>
      <w:r>
        <w:t>.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 xml:space="preserve">The standard is not silent on that choice, and this is the paper's sharpest finding rather than an awkwardness for it. M26-A's own section 1.3.2.5 is headed </w:t>
      </w:r>
      <w:r>
        <w:rPr>
          <w:i/>
        </w:rPr>
        <w:t>Volume Transferred</w:t>
      </w:r>
      <w:r>
        <w:t>, and it ties the volume to the endpoint with a counting rule: plate a volume such that, after the defined 99.9 per cent killing, at least ten colonies remain to be counted (18). It permits 10 to 100 µL, and gives a reason at each end — carryover above, Poisson sampling error below. Section 3.1 goes further and requires that the smallest accurately detectable count be established by serial dilution of a known inoculum. A guideline written in 1999 therefore already required both of the numbers this paper asks for: a floor established by measurement, and a plated volume chosen against the endpoint.</w:t>
      </w:r>
    </w:p>
    <w:p>
      <w:r>
        <w:t>Applied to its own endpoint the rule bites. Ten colonies after a 99.9 per cent kill of 5 × 10⁵ per mL needs at least 20 µL streaked; a 10 µL streak yields five and fails the rule. The requirement was there, it was quantitative, and the deposits reanalysed here do not meet it — not because their authors disregarded a standard, but because the endpoint moved out from under it. M26-A sets 99.9 per cent throughout and nowhere contemplates a four-log call; the deeper endpoints came later, and the volume rule did not travel with them.</w:t>
      </w:r>
    </w:p>
    <w:p>
      <w:r>
        <w:t>Take the assay's contribution out and something is left, not nothing, and what is left makes biological sense. Growth state predicts the tolerance class, and it still predicts it after adjustment for starting density, which is the expected direction: isoniazid needs KatG to activate it and needs active cell-wall synthesis (21), rifampicin needs transcription (22), and a population that is not dividing offers less of what these drugs act on. The axis the classification is reading is physiological state, not drug susceptibility.</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Why the association weakens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(23, 24).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Vijay and colleagues report that tolerance goes with resistance status and with treatment history in the same isolates (25).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So the finding is not that their classification is empty. It is that one of its two associations is carried by the geometry of the assay and by isolates that are not independent of each other.</w:t>
      </w:r>
    </w:p>
    <w:p>
      <w:r>
        <w:t>Several things about these deposits bound what the analysis can establish, and each points at the experiment that would settle the question. Those bearing on the claims made here are these; the rest are set out in the supplement.</w:t>
      </w:r>
    </w:p>
    <w:p>
      <w:r>
        <w:t xml:space="preserve">The first limitation is one this paper has already acted on rather than merely declared. Flasks from one laboratory share a starting culture; repeat isolates come from a patient already counted. Every conclusion drawn from the two primary deposits was recomputed at the level where the observations really are independent, and the outcome is listed one line at a time rather than summarised (Table S13):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five and the one are not claims this paper makes; they are claims it tested and dropped, and the ledger is printed so a reader can check that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Report the starting density and the assay floor with every tolerance measurement.</w:t>
      </w:r>
      <w:r>
        <w:t xml:space="preserve"> The two together say how far down the experiment could look, and without that a log-reduction endpoint cannot be interpreted. Neither costs anything to record: one is the count that went into the flask, the other is what a single colony on the plate is worth. Thirty-six of the 45 deposits inspected in full in the course of this project state no limit anywhere — four in five of the datasets an investigator would actually reach for.</w:t>
      </w:r>
    </w:p>
    <w:p>
      <w:r>
        <w:rPr>
          <w:b/>
        </w:rPr>
        <w:t>Choose the depth of the endpoint to fit the headroom actually available, and do not densify the inoculum merely to buy more.</w:t>
      </w:r>
      <w:r>
        <w:t xml:space="preserve"> The inoculum this needs can be worked out before the experiment rather than diagnosed after it: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But seeding higher also changes the experiment, because a denser culture is a different physiological state, and this paper's own finding is that physiological state is what the tolerance label tracks. Where the deep endpoint is wanted, lower the assay floor; where the headroom will not carry it either way, the shallower endpoint is the honest one, and the growth state belongs on the report whichever is chosen. This is a design decision that is currently not being made.</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rPr>
          <w:b/>
        </w:rPr>
        <w:t>Treat an endpoint at the floor as a bound, not a value.</w:t>
      </w:r>
      <w:r>
        <w:t xml:space="preserve"> A recorded fraction of </w:t>
      </w:r>
      <w:r>
        <w:rPr>
          <w:i/>
        </w:rPr>
        <w:t>L</w:t>
      </w:r>
      <w:r>
        <w:t>/</w:t>
      </w:r>
      <w:r>
        <w:rPr>
          <w:i/>
        </w:rPr>
        <w:t>N₀</w:t>
      </w:r>
      <w:r>
        <w:t xml:space="preserve"> is an upper limit on survival, not an estimate of it. Analysed as a measurement it manufactures differences between isolates whose final viable burdens the assay could not tell apart. It also hides the converse point: the range of true reductions a floor reading is compatible with depends on where that culture started, so the same censored reading stands for a different demonstrated kill at every starting density.</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r>
        <w:rPr>
          <w:b/>
        </w:rPr>
        <w:t>Report physiological state as a required field.</w:t>
      </w:r>
      <w:r>
        <w:t xml:space="preserve"> It is what the classification is reading, and it is currently the least documented variable in the assay.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not that tolerance is an artefact. It is that a tolerance call made without its headroom cannot be told apart from an inoculum measurement, and that the phenotype which does survive the correction is physiological state rather than drug susceptibility.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pPr>
        <w:spacing w:before="240"/>
      </w:pPr>
      <w:r>
        <w:rPr>
          <w:b/>
          <w:sz w:val="24"/>
        </w:rPr>
        <w:t>Materials and Methods</w:t>
      </w:r>
    </w:p>
    <w:p>
      <w:r>
        <w:rPr>
          <w:i/>
        </w:rPr>
        <w:t>The condensed account. The full account, with every estimator and every sensitivity analysis, is Supplementary Methods in the supplemental file.</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and inspected one record at a time between 21 August and 8 September 2026, each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45 had series that could be read in full. </w:t>
      </w:r>
      <w:r>
        <w:rPr>
          <w:b/>
        </w:rPr>
        <w:t>Of those 45, 36 state no assay floor by any route</w:t>
      </w:r>
      <w:r>
        <w:t xml:space="preserve"> — no limit of detection, no limit of quantification, and no plated volume from which one could be derived. Five state a floor outright and four permit one to be derived from a stated plated volume. Eighteen of the 78 carry enough for the boundaries to be computed at all, and five carry the complete set of fields the analysis needs; those five are the deposits of Table 1.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pPr>
        <w:spacing w:before="240"/>
      </w:pPr>
      <w:r>
        <w:rPr>
          <w:b/>
          <w:sz w:val="22"/>
        </w:rPr>
        <w:t>The five deposits analysed</w:t>
      </w:r>
    </w:p>
    <w:p>
      <w:r>
        <w:t>Five published deposits are analysed (Table 1). Four carry the analysis and the fifth is held out to test it. None was generated for this study and all are openly licensed. The held-out deposit was opened only after every boundary and threshold was fixed, which the commit history of the analysis repository timestamps; the other four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(13).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(4, 5).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(26).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(8, 27). Six of its 595 surviving fractions are written as exact zeros, marking a below-limit reading without naming a limit; they fix no floor, so this deposit is one of the two for which observability labels are refused.</w:t>
      </w:r>
    </w:p>
    <w:p>
      <w:r>
        <w:rPr>
          <w:b/>
        </w:rPr>
        <w:t>A deposit held out for validation.</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(9, 10).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6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(6, 7). The amikacin arms are not analysed here. Within apramycin the 1 µg/mL arm shows net growth rather than killing and is excluded from the dose comparison, leaving 4 to 128 µg/mL as the range compared (Section 7).</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(18, 28).</w:t>
      </w:r>
    </w:p>
    <w:p>
      <w:r>
        <w:rPr>
          <w:b/>
        </w:rPr>
        <w:t>Minimum inhibitory concentration.</w:t>
      </w:r>
      <w:r>
        <w:t xml:space="preserve"> The ciprofloxacin MIC of the strain was determined by CLSI reference broth microdilution (28, 29):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(29),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S14).</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(11, 12),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S15).</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(30, 31),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4.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S5).</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S16).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(32). An observed reading contributes the usual Gaussian density; a censored reading contributes log Φ((limit − µ)/σ), the probability that it fell below its own limit. This is Beal's M3 (Beal 2001) written for this assay (33). Intervals come from the profile likelihood.</w:t>
      </w:r>
    </w:p>
    <w:p>
      <w:r>
        <w:rPr>
          <w:b/>
        </w:rPr>
        <w:t>Multiple imputation</w:t>
      </w:r>
      <w:r>
        <w:t xml:space="preserve"> draws each censored reading from the fitted normal truncated at its own limit, refits by ordinary least squares, and pools 50 fits by Rubin's rules (34).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(35),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(36) and by a likelihood-ratio test against a generalised ordered logit (37)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S17).</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(38) are therefore reported alongside the naive treatment that pins the event to the visit at which the blank plate was noticed. Kaplan–Meier (39) and Cox proportional hazards (40) are retained as </w:t>
      </w:r>
      <w:r>
        <w:rPr>
          <w:b/>
        </w:rPr>
        <w:t>descriptive</w:t>
      </w:r>
      <w:r>
        <w:t xml:space="preserve"> summaries of first crossing only; their intervals are replaced by cluster bootstraps over laboratories and over flasks (41), because those 261 series come from 72 flasks in 6 laboratories and the partial likelihood treats them as independent. No p-value is quoted for a term that is constant within laboratory, since six clusters cannot support one. Proportionality is tested on Schoenfeld residuals (42, 43).</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(44)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Section 7 and drawn in Figure 3C. The least-squares fit is kept in the table for comparison and is labelled there: it has two residual degrees of freedom and discards the replicate scatter entirely. An interval on a proportion — an inversion rate, or a share of flasks — is the Jeffreys interval (45),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(46)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(47), scipy 1.18.0 (48), pandas 3.0.3 (49), statsmodels 0.15.0 (50) and lifelines 0.30.3 (51).</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author is an independent researcher with no institutional affiliation, so no institutional review board holds jurisdiction; none is required either for secondary analysis of de-identified data already public under open licences or for work on a bacterial quality-control strain.</w:t>
      </w:r>
    </w:p>
    <w:p>
      <w:pPr>
        <w:spacing w:before="240"/>
      </w:pPr>
      <w:r>
        <w:rPr>
          <w:b/>
          <w:sz w:val="22"/>
        </w:rPr>
        <w:t>Use of generative artificial intelligence</w:t>
      </w:r>
    </w:p>
    <w:p>
      <w:r>
        <w:t>Anthropic's Claude (Opus 5) was used under the author's direction to copy-edit and language-edit the manuscript text and to prepare its final version.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1 and cited alongside the article that first described it: Vijay and colleagues (13, 25), van Wijk and colleagues (4, 5), Windels and colleagues (8, 27), Kaur and colleagues (6, 7), and the hollow-fibre Source Data of Dubey and colleagues (9, 10),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(52),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[The commit identifier of the submitted version is to be inserted at submission.]</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before="240"/>
      </w:pPr>
      <w:r>
        <w:rPr>
          <w:b/>
          <w:sz w:val="24"/>
        </w:rPr>
        <w:t>Supplemental material</w:t>
      </w:r>
    </w:p>
    <w:p>
      <w:r>
        <w:t>The supplemental file carries the full Materials and Methods, the analyses named above as supplementary text, and 22 supplemental tables. Table S18, Table S19, Table S20, Table S21 and Table S22 support analyses reported there rather than in this article, and are listed so that every supplemental item is named in the manuscript.</w:t>
      </w:r>
    </w:p>
    <w:p>
      <w:pPr>
        <w:spacing w:before="240"/>
      </w:pPr>
      <w:r>
        <w:rPr>
          <w:b/>
          <w:sz w:val="24"/>
        </w:rPr>
        <w:t>Tables</w:t>
      </w:r>
    </w:p>
    <w:p>
      <w:r>
        <w:rPr>
          <w:b/>
        </w:rPr>
        <w:t>Table 1.</w:t>
      </w:r>
      <w:r>
        <w:t xml:space="preserve"> The five published deposits reanalysed. Four carry the analysis and the fifth is held out to test it. None was generated for this study. The held-out deposit was opened after every boundary and threshold was fixed, which the commit history of the analysis repository timestamps; the other four were selected for the fields they carry, and that selection is not separately registered.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(8)</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Held out for validation</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b/>
        </w:rPr>
        <w:t>Table 2.</w:t>
      </w:r>
      <w:r>
        <w:t xml:space="preserve"> The reduction each tolerance endpoint requires against the reduction the assay can resolve,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b/>
        </w:rPr>
        <w:t>Table 3.</w:t>
      </w:r>
      <w:r>
        <w:t xml:space="preserve"> Isolates whose day-5 reading was censored at the MPN floor. They share one reported floor-level observation, but their true final counts are unknown below the floor, so the assay cannot distinguish their final viable burdens; because their starting densities differ, the same reading also implies a different range of compatible fractional reductions in each. The recorded fraction is L/N0, so the spread in apparent survival equals the spread in starting density exactly, and the labels differ accordingly. The last three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Prior culture</w:t>
            </w:r>
          </w:p>
        </w:tc>
        <w:tc>
          <w:tcPr>
            <w:tcW w:type="dxa" w:w="1170"/>
          </w:tcPr>
          <w:p>
            <w:pPr>
              <w:spacing w:line="240" w:lineRule="auto" w:after="40"/>
            </w:pPr>
            <w:r>
              <w:rPr>
                <w:b/>
                <w:sz w:val="18"/>
              </w:rPr>
            </w:r>
            <w:r>
              <w:rPr>
                <w:b/>
                <w:sz w:val="18"/>
              </w:rPr>
              <w:t>At the floor</w:t>
            </w:r>
          </w:p>
        </w:tc>
        <w:tc>
          <w:tcPr>
            <w:tcW w:type="dxa" w:w="1170"/>
          </w:tcPr>
          <w:p>
            <w:pPr>
              <w:spacing w:line="240" w:lineRule="auto" w:after="40"/>
            </w:pPr>
            <w:r>
              <w:rPr>
                <w:b/>
                <w:sz w:val="18"/>
              </w:rPr>
            </w:r>
            <w:r>
              <w:rPr>
                <w:b/>
                <w:sz w:val="18"/>
              </w:rPr>
              <w:t>Starting density spread</w:t>
            </w:r>
          </w:p>
        </w:tc>
        <w:tc>
          <w:tcPr>
            <w:tcW w:type="dxa" w:w="1170"/>
          </w:tcPr>
          <w:p>
            <w:pPr>
              <w:spacing w:line="240" w:lineRule="auto" w:after="40"/>
            </w:pPr>
            <w:r>
              <w:rPr>
                <w:b/>
                <w:sz w:val="18"/>
              </w:rPr>
            </w:r>
            <w:r>
              <w:rPr>
                <w:b/>
                <w:sz w:val="18"/>
              </w:rPr>
              <w:t>Recorded survival spread</w:t>
            </w:r>
          </w:p>
        </w:tc>
        <w:tc>
          <w:tcPr>
            <w:tcW w:type="dxa" w:w="1170"/>
          </w:tcPr>
          <w:p>
            <w:pPr>
              <w:spacing w:line="240" w:lineRule="auto" w:after="40"/>
            </w:pPr>
            <w:r>
              <w:rPr>
                <w:b/>
                <w:sz w:val="18"/>
              </w:rPr>
            </w:r>
            <w:r>
              <w:rPr>
                <w:b/>
                <w:sz w:val="18"/>
              </w:rPr>
              <w:t>Labels assigned at the floor</w:t>
            </w:r>
          </w:p>
        </w:tc>
        <w:tc>
          <w:tcPr>
            <w:tcW w:type="dxa" w:w="1170"/>
          </w:tcPr>
          <w:p>
            <w:pPr>
              <w:spacing w:line="240" w:lineRule="auto" w:after="40"/>
            </w:pPr>
            <w:r>
              <w:rPr>
                <w:b/>
                <w:sz w:val="18"/>
              </w:rPr>
            </w:r>
            <w:r>
              <w:rPr>
                <w:b/>
                <w:sz w:val="18"/>
              </w:rPr>
              <w:t>Measured</w:t>
            </w:r>
          </w:p>
        </w:tc>
        <w:tc>
          <w:tcPr>
            <w:tcW w:type="dxa" w:w="1170"/>
          </w:tcPr>
          <w:p>
            <w:pPr>
              <w:spacing w:line="240" w:lineRule="auto" w:after="40"/>
            </w:pPr>
            <w:r>
              <w:rPr>
                <w:b/>
                <w:sz w:val="18"/>
              </w:rPr>
            </w:r>
            <w:r>
              <w:rPr>
                <w:b/>
                <w:sz w:val="18"/>
              </w:rPr>
              <w:t>Single compatible class</w:t>
            </w:r>
          </w:p>
        </w:tc>
        <w:tc>
          <w:tcPr>
            <w:tcW w:type="dxa" w:w="1170"/>
          </w:tcPr>
          <w:p>
            <w:pPr>
              <w:spacing w:line="240" w:lineRule="auto" w:after="40"/>
            </w:pPr>
            <w:r>
              <w:rPr>
                <w:b/>
                <w:sz w:val="18"/>
              </w:rPr>
            </w:r>
            <w:r>
              <w:rPr>
                <w:b/>
                <w:sz w:val="18"/>
              </w:rPr>
              <w:t>Multiple compatible classes</w:t>
            </w:r>
          </w:p>
        </w:tc>
      </w:tr>
      <w:tr>
        <w:tc>
          <w:tcPr>
            <w:tcW w:type="dxa" w:w="1170"/>
          </w:tcPr>
          <w:p>
            <w:pPr>
              <w:spacing w:line="240" w:lineRule="auto" w:after="40"/>
            </w:pPr>
            <w:r>
              <w:rPr>
                <w:sz w:val="18"/>
              </w:rPr>
            </w:r>
            <w:r>
              <w:rPr>
                <w:sz w:val="18"/>
              </w:rPr>
              <w:t>15 days</w:t>
            </w:r>
          </w:p>
        </w:tc>
        <w:tc>
          <w:tcPr>
            <w:tcW w:type="dxa" w:w="1170"/>
          </w:tcPr>
          <w:p>
            <w:pPr>
              <w:spacing w:line="240" w:lineRule="auto" w:after="40"/>
            </w:pPr>
            <w:r>
              <w:rPr>
                <w:sz w:val="18"/>
              </w:rPr>
            </w:r>
            <w:r>
              <w:rPr>
                <w:sz w:val="18"/>
              </w:rPr>
              <w:t>18</w:t>
            </w:r>
          </w:p>
        </w:tc>
        <w:tc>
          <w:tcPr>
            <w:tcW w:type="dxa" w:w="1170"/>
          </w:tcPr>
          <w:p>
            <w:pPr>
              <w:spacing w:line="240" w:lineRule="auto" w:after="40"/>
            </w:pPr>
            <w:r>
              <w:rPr>
                <w:sz w:val="18"/>
              </w:rPr>
            </w:r>
            <w:r>
              <w:rPr>
                <w:sz w:val="18"/>
              </w:rPr>
              <w:t>265x</w:t>
            </w:r>
          </w:p>
        </w:tc>
        <w:tc>
          <w:tcPr>
            <w:tcW w:type="dxa" w:w="1170"/>
          </w:tcPr>
          <w:p>
            <w:pPr>
              <w:spacing w:line="240" w:lineRule="auto" w:after="40"/>
            </w:pPr>
            <w:r>
              <w:rPr>
                <w:sz w:val="18"/>
              </w:rPr>
            </w:r>
            <w:r>
              <w:rPr>
                <w:sz w:val="18"/>
              </w:rPr>
              <w:t>265x</w:t>
            </w:r>
          </w:p>
        </w:tc>
        <w:tc>
          <w:tcPr>
            <w:tcW w:type="dxa" w:w="1170"/>
          </w:tcPr>
          <w:p>
            <w:pPr>
              <w:spacing w:line="240" w:lineRule="auto" w:after="40"/>
            </w:pPr>
            <w:r>
              <w:rPr>
                <w:sz w:val="18"/>
              </w:rPr>
            </w:r>
            <w:r>
              <w:rPr>
                <w:sz w:val="18"/>
              </w:rPr>
              <w:t>Low: 12, Medium: 6</w:t>
            </w:r>
          </w:p>
        </w:tc>
        <w:tc>
          <w:tcPr>
            <w:tcW w:type="dxa" w:w="1170"/>
          </w:tcPr>
          <w:p>
            <w:pPr>
              <w:spacing w:line="240" w:lineRule="auto" w:after="40"/>
            </w:pPr>
            <w:r>
              <w:rPr>
                <w:sz w:val="18"/>
              </w:rPr>
            </w:r>
            <w:r>
              <w:rPr>
                <w:sz w:val="18"/>
              </w:rPr>
              <w:t>185</w:t>
            </w:r>
          </w:p>
        </w:tc>
        <w:tc>
          <w:tcPr>
            <w:tcW w:type="dxa" w:w="1170"/>
          </w:tcPr>
          <w:p>
            <w:pPr>
              <w:spacing w:line="240" w:lineRule="auto" w:after="40"/>
            </w:pPr>
            <w:r>
              <w:rPr>
                <w:sz w:val="18"/>
              </w:rPr>
            </w:r>
            <w:r>
              <w:rPr>
                <w:sz w:val="18"/>
              </w:rPr>
              <w:t>12</w:t>
            </w:r>
          </w:p>
        </w:tc>
        <w:tc>
          <w:tcPr>
            <w:tcW w:type="dxa" w:w="1170"/>
          </w:tcPr>
          <w:p>
            <w:pPr>
              <w:spacing w:line="240" w:lineRule="auto" w:after="40"/>
            </w:pPr>
            <w:r>
              <w:rPr>
                <w:sz w:val="18"/>
              </w:rPr>
            </w:r>
            <w:r>
              <w:rPr>
                <w:sz w:val="18"/>
              </w:rPr>
              <w:t>6</w:t>
            </w:r>
          </w:p>
        </w:tc>
      </w:tr>
      <w:tr>
        <w:tc>
          <w:tcPr>
            <w:tcW w:type="dxa" w:w="1170"/>
          </w:tcPr>
          <w:p>
            <w:pPr>
              <w:spacing w:line="240" w:lineRule="auto" w:after="40"/>
            </w:pPr>
            <w:r>
              <w:rPr>
                <w:sz w:val="18"/>
              </w:rPr>
            </w:r>
            <w:r>
              <w:rPr>
                <w:sz w:val="18"/>
              </w:rPr>
              <w:t>60 days</w:t>
            </w:r>
          </w:p>
        </w:tc>
        <w:tc>
          <w:tcPr>
            <w:tcW w:type="dxa" w:w="1170"/>
          </w:tcPr>
          <w:p>
            <w:pPr>
              <w:spacing w:line="240" w:lineRule="auto" w:after="40"/>
            </w:pPr>
            <w:r>
              <w:rPr>
                <w:sz w:val="18"/>
              </w:rPr>
            </w:r>
            <w:r>
              <w:rPr>
                <w:sz w:val="18"/>
              </w:rPr>
              <w:t>6</w:t>
            </w:r>
          </w:p>
        </w:tc>
        <w:tc>
          <w:tcPr>
            <w:tcW w:type="dxa" w:w="1170"/>
          </w:tcPr>
          <w:p>
            <w:pPr>
              <w:spacing w:line="240" w:lineRule="auto" w:after="40"/>
            </w:pPr>
            <w:r>
              <w:rPr>
                <w:sz w:val="18"/>
              </w:rPr>
            </w:r>
            <w:r>
              <w:rPr>
                <w:sz w:val="18"/>
              </w:rPr>
              <w:t>100x</w:t>
            </w:r>
          </w:p>
        </w:tc>
        <w:tc>
          <w:tcPr>
            <w:tcW w:type="dxa" w:w="1170"/>
          </w:tcPr>
          <w:p>
            <w:pPr>
              <w:spacing w:line="240" w:lineRule="auto" w:after="40"/>
            </w:pPr>
            <w:r>
              <w:rPr>
                <w:sz w:val="18"/>
              </w:rPr>
            </w:r>
            <w:r>
              <w:rPr>
                <w:sz w:val="18"/>
              </w:rPr>
              <w:t>100x</w:t>
            </w:r>
          </w:p>
        </w:tc>
        <w:tc>
          <w:tcPr>
            <w:tcW w:type="dxa" w:w="1170"/>
          </w:tcPr>
          <w:p>
            <w:pPr>
              <w:spacing w:line="240" w:lineRule="auto" w:after="40"/>
            </w:pPr>
            <w:r>
              <w:rPr>
                <w:sz w:val="18"/>
              </w:rPr>
            </w:r>
            <w:r>
              <w:rPr>
                <w:sz w:val="18"/>
              </w:rPr>
              <w:t>Low: 6</w:t>
            </w:r>
          </w:p>
        </w:tc>
        <w:tc>
          <w:tcPr>
            <w:tcW w:type="dxa" w:w="1170"/>
          </w:tcPr>
          <w:p>
            <w:pPr>
              <w:spacing w:line="240" w:lineRule="auto" w:after="40"/>
            </w:pPr>
            <w:r>
              <w:rPr>
                <w:sz w:val="18"/>
              </w:rPr>
            </w:r>
            <w:r>
              <w:rPr>
                <w:sz w:val="18"/>
              </w:rPr>
              <w:t>191</w:t>
            </w:r>
          </w:p>
        </w:tc>
        <w:tc>
          <w:tcPr>
            <w:tcW w:type="dxa" w:w="1170"/>
          </w:tcPr>
          <w:p>
            <w:pPr>
              <w:spacing w:line="240" w:lineRule="auto" w:after="40"/>
            </w:pPr>
            <w:r>
              <w:rPr>
                <w:sz w:val="18"/>
              </w:rPr>
            </w:r>
            <w:r>
              <w:rPr>
                <w:sz w:val="18"/>
              </w:rPr>
              <w:t>6</w:t>
            </w:r>
          </w:p>
        </w:tc>
        <w:tc>
          <w:tcPr>
            <w:tcW w:type="dxa" w:w="1170"/>
          </w:tcPr>
          <w:p>
            <w:pPr>
              <w:spacing w:line="240" w:lineRule="auto" w:after="40"/>
            </w:pPr>
            <w:r>
              <w:rPr>
                <w:sz w:val="18"/>
              </w:rPr>
            </w:r>
            <w:r>
              <w:rPr>
                <w:sz w:val="18"/>
              </w:rPr>
              <w:t>0</w:t>
            </w:r>
          </w:p>
        </w:tc>
      </w:tr>
    </w:tbl>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 xml:space="preserve">4.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5.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6. Kaur P. 2024. Apramycin kills replicating and non-replicating </w:t>
      </w:r>
      <w:r>
        <w:rPr>
          <w:i/>
        </w:rPr>
        <w:t>Mycobacterium tuberculosis</w:t>
      </w:r>
      <w:r>
        <w:t xml:space="preserve"> — raw data. figshare. https://doi.org/10.6084/m9.figshare.26462791.v1.</w:t>
      </w:r>
    </w:p>
    <w:p>
      <w:r>
        <w:t xml:space="preserve">7. Kaur P, Ramya VK, Naveenkumar CN, Bharathkumar K, Singh M, Hobbie SN, Shandil RK, Narayanan S. 2024. Apramycin kills replicating and non-replicating </w:t>
      </w:r>
      <w:r>
        <w:rPr>
          <w:i/>
        </w:rPr>
        <w:t>Mycobacterium tuberculosis</w:t>
      </w:r>
      <w:r>
        <w:t>. Front Trop Dis 5:1413211. https://doi.org/10.3389/fitd.2024.1413211.</w:t>
      </w:r>
    </w:p>
    <w:p>
      <w:r>
        <w:t>8.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9.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11. Cochran WG. 1950. Estimation of bacterial densities by means of the "most probable number". Biometrics 6:105. https://doi.org/10.2307/3001491.</w:t>
      </w:r>
    </w:p>
    <w:p>
      <w:r>
        <w:t>12. Blodgett R. 2023. BAM appendix 2: most probable number from serial dilutions. Bacteriological analytical manual. US Food and Drug Administration, Silver Spring, MD. https://www.fda.gov/food/laboratory-methods-food/bam-appendix-2-most-probable-number-serial-dilutions.</w:t>
      </w:r>
    </w:p>
    <w:p>
      <w:r>
        <w:t xml:space="preserve">13.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14. Fisher RA. 1935. The logic of inductive inference. J R Stat Soc 98:39-82. https://doi.org/10.2307/2342435.</w:t>
      </w:r>
    </w:p>
    <w:p>
      <w:r>
        <w:t>15. Mann HB, Whitney DR. 1947. On a test of whether one of two random variables is stochastically larger than the other. Ann Math Stat 18:50-60. https://doi.org/10.1214/aoms/1177730491.</w:t>
      </w:r>
    </w:p>
    <w:p>
      <w:r>
        <w:t>16. McNemar Q. 1947. Note on the sampling error of the difference between correlated proportions or percentages. Psychometrika 12:153-157. https://doi.org/10.1007/BF02295996.</w:t>
      </w:r>
    </w:p>
    <w:p>
      <w:r>
        <w:t>17. Wilcoxon F. 1945. Individual comparisons by ranking methods. Biom Bull 1:80. https://doi.org/10.2307/3001968.</w:t>
      </w:r>
    </w:p>
    <w:p>
      <w:r>
        <w:t>18. National Committee for Clinical Laboratory Standards. 1999. Methods for determining bactericidal activity of antimicrobial agents; approved guideline. NCCLS document M26-A. National Committee for Clinical Laboratory Standards, Wayne, PA. ISBN 1-56238-384-1.</w:t>
      </w:r>
    </w:p>
    <w:p>
      <w:r>
        <w:t>19. McFarland J. 1907. The nephelometer: an instrument for estimating the number of bacteria in suspensions used for calculating the opsonic index and for vaccines. JAMA 49:1176. https://doi.org/10.1001/jama.1907.25320140022001f.</w:t>
      </w:r>
    </w:p>
    <w:p>
      <w:r>
        <w:t xml:space="preserve">20.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21. Vilchèze C, Jacobs WR Jr. 2007. The mechanism of isoniazid killing: clarity through the scope of genetics. Annu Rev Microbiol 61:35-50. https://doi.org/10.1146/annurev.micro.61.111606.122346.</w:t>
      </w:r>
    </w:p>
    <w:p>
      <w:r>
        <w:t>22. Campbell EA, Korzheva N, Mustaev A, Murakami K, Nair S, Goldfarb A, Darst SA. 2001. Structural mechanism for rifampicin inhibition of bacterial RNA polymerase. Cell 104:901-912. https://doi.org/10.1016/S0092-8674(01)00286-0.</w:t>
      </w:r>
    </w:p>
    <w:p>
      <w:r>
        <w:t xml:space="preserve">23.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24.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 xml:space="preserve">25.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26.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27.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28. Clinical and Laboratory Standards Institute. 2024. Methods for dilution antimicrobial susceptibility tests for bacteria that grow aerobically, 12th ed. CLSI standard M07. Clinical and Laboratory Standards Institute, Wayne, PA.</w:t>
      </w:r>
    </w:p>
    <w:p>
      <w:r>
        <w:t>29. Clinical and Laboratory Standards Institute. 2026. Performance standards for antimicrobial susceptibility testing, 36th ed. CLSI supplement M100. Clinical and Laboratory Standards Institute, Wayne, PA.</w:t>
      </w:r>
    </w:p>
    <w:p>
      <w:r>
        <w:t>30. Imai K, Keele L, Yamamoto T. 2010. Identification, inference and sensitivity analysis for causal mediation effects. Stat Sci 25:51-71. https://doi.org/10.1214/10-STS321.</w:t>
      </w:r>
    </w:p>
    <w:p>
      <w:r>
        <w:t>31. Baron RM, Kenny DA. 1986. The moderator-mediator variable distinction in social psychological research: conceptual, strategic, and statistical considerations. J Pers Soc Psychol 51:1173-1182. https://doi.org/10.1037/0022-3514.51.6.1173.</w:t>
      </w:r>
    </w:p>
    <w:p>
      <w:r>
        <w:t>32. Tobin J. 1958. Estimation of relationships for limited dependent variables. Econometrica 26:24. https://doi.org/10.2307/1907382.</w:t>
      </w:r>
    </w:p>
    <w:p>
      <w:r>
        <w:t>33. Beal SL. 2001. Ways to fit a PK model with some data below the quantification limit. J Pharmacokinet Pharmacodyn 28:481-504. https://doi.org/10.1023/A:1012299115260.</w:t>
      </w:r>
    </w:p>
    <w:p>
      <w:r>
        <w:t>34. Rubin DB. 1987. Multiple imputation for nonresponse in surveys. John Wiley &amp; Sons, New York, NY. https://doi.org/10.1002/9780470316696.</w:t>
      </w:r>
    </w:p>
    <w:p>
      <w:r>
        <w:t>35. McCullagh P. 1980. Regression models for ordinal data. J R Stat Soc Series B Stat Methodol 42:109-127. https://doi.org/10.1111/j.2517-6161.1980.tb01109.x.</w:t>
      </w:r>
    </w:p>
    <w:p>
      <w:r>
        <w:t>36. Brant R. 1990. Assessing proportionality in the proportional odds model for ordinal logistic regression. Biometrics 46:1171-1178.</w:t>
      </w:r>
    </w:p>
    <w:p>
      <w:r>
        <w:t>37. Peterson B, Harrell FE Jr. 1990. Partial proportional odds models for ordinal response variables. J R Stat Soc Ser C Appl Stat 39:205. https://doi.org/10.2307/2347760.</w:t>
      </w:r>
    </w:p>
    <w:p>
      <w:r>
        <w:t>38. Turnbull BW. 1976. The empirical distribution function with arbitrarily grouped, censored and truncated data. J R Stat Soc Series B Stat Methodol 38:290-295. https://doi.org/10.1111/j.2517-6161.1976.tb01597.x.</w:t>
      </w:r>
    </w:p>
    <w:p>
      <w:r>
        <w:t>39. Kaplan EL, Meier P. 1958. Nonparametric estimation from incomplete observations. J Am Stat Assoc 53:457-481. https://doi.org/10.1080/01621459.1958.10501452.</w:t>
      </w:r>
    </w:p>
    <w:p>
      <w:r>
        <w:t>40. Cox DR. 1972. Regression models and life-tables. J R Stat Soc Series B Stat Methodol 34:187-202. https://doi.org/10.1111/j.2517-6161.1972.tb00899.x.</w:t>
      </w:r>
    </w:p>
    <w:p>
      <w:r>
        <w:t>41. Field CA, Welsh AH. 2007. Bootstrapping clustered data. J R Stat Soc Series B Stat Methodol 69:369-390. https://doi.org/10.1111/j.1467-9868.2007.00593.x.</w:t>
      </w:r>
    </w:p>
    <w:p>
      <w:r>
        <w:t>42. Schoenfeld D. 1982. Partial residuals for the proportional hazards regression model. Biometrika 69:239-241. https://doi.org/10.1093/biomet/69.1.239.</w:t>
      </w:r>
    </w:p>
    <w:p>
      <w:r>
        <w:t>43. Grambsch PM, Therneau TM. 1994. Proportional hazards tests and diagnostics based on weighted residuals. Biometrika 81:515-526. https://doi.org/10.1093/biomet/81.3.515.</w:t>
      </w:r>
    </w:p>
    <w:p>
      <w:r>
        <w:t>44. Efron B. 1979. Bootstrap methods: another look at the jackknife. Ann Stat 7:1-26. https://doi.org/10.1214/aos/1176344552.</w:t>
      </w:r>
    </w:p>
    <w:p>
      <w:r>
        <w:t>45. Brown LD, Cai TT, DasGupta A. 2001. Interval estimation for a binomial proportion. Stat Sci 16:101-133. https://doi.org/10.1214/ss/1009213286.</w:t>
      </w:r>
    </w:p>
    <w:p>
      <w:r>
        <w:t>46. Benjamini Y, Hochberg Y. 1995. Controlling the false discovery rate: a practical and powerful approach to multiple testing. J R Stat Soc Series B Stat Methodol 57:289-300. https://doi.org/10.1111/j.2517-6161.1995.tb02031.x.</w:t>
      </w:r>
    </w:p>
    <w:p>
      <w:r>
        <w:t>47.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48.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49. McKinney W. 2010. Data structures for statistical computing in Python. Proceedings of the 9th Python in Science Conference 56-61. https://doi.org/10.25080/Majora-92bf1922-00a.</w:t>
      </w:r>
    </w:p>
    <w:p>
      <w:r>
        <w:t>50. Seabold S, Perktold J. 2010. Statsmodels: econometric and statistical modeling with Python. Proceedings of the 9th Python in Science Conference 92-96. https://doi.org/10.25080/Majora-92bf1922-011.</w:t>
      </w:r>
    </w:p>
    <w:p>
      <w:r>
        <w:t>51. Davidson-Pilon C. 2019. lifelines: survival analysis in Python. J Open Source Softw 4:1317. https://doi.org/10.21105/joss.01317.</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