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Rifampicin tolerance classification is bounded by assay detection floor among clinical </w:t>
      </w:r>
      <w:r>
        <w:rPr>
          <w:b/>
          <w:i/>
          <w:sz w:val="28"/>
        </w:rPr>
        <w:t>Mycobacterium tuberculosis</w:t>
      </w:r>
      <w:r>
        <w:rPr>
          <w:b/>
          <w:sz w:val="28"/>
        </w:rPr>
        <w:t xml:space="preserve"> isolates</w:t>
      </w:r>
    </w:p>
    <w:p>
      <w:r>
        <w:rPr>
          <w:b/>
        </w:rPr>
        <w:t>Author:</w:t>
      </w:r>
      <w:r>
        <w:t xml:space="preserve"> Vahhab Piranfar¹</w:t>
      </w:r>
    </w:p>
    <w:p>
      <w:r>
        <w:t>¹Department of Microbiology, Iran University of Medical Sciences, Tehran, Iran</w:t>
      </w:r>
    </w:p>
    <w:p>
      <w:r>
        <w:t>ORCID: [0000-0003-3653-5739](https://orcid.org/0000-0003-3653-5739)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6 | </w:t>
      </w:r>
      <w:r>
        <w:rPr>
          <w:b/>
        </w:rPr>
        <w:t>Supplemental tables:</w:t>
      </w:r>
      <w:r>
        <w:t xml:space="preserve"> 26</w:t>
      </w:r>
    </w:p>
    <w:p>
      <w:pPr>
        <w:spacing w:before="240"/>
      </w:pPr>
      <w:r>
        <w:rPr>
          <w:b/>
          <w:sz w:val="24"/>
        </w:rPr>
        <w:t>Abstract</w:t>
      </w:r>
    </w:p>
    <w:p>
      <w:r>
        <w:t xml:space="preserve">Time-kill assays are the standard method for evaluating antibiotic tolerance, but constraints from starting bacterial density and the assay's detection floor are frequently overlooked, causing systematic misclassification of bacterial survival. We show how an unreported detection floor structurally distorts rifampicin tolerance classification in </w:t>
      </w:r>
      <w:r>
        <w:rPr>
          <w:i/>
        </w:rPr>
        <w:t>Mycobacterium tuberculosis</w:t>
      </w:r>
      <w:r>
        <w:t>.</w:t>
      </w:r>
    </w:p>
    <w:p>
      <w:r>
        <w:t xml:space="preserve">We analyzed rifampicin tolerance against the assay's detection floor in 217 clinical </w:t>
      </w:r>
      <w:r>
        <w:rPr>
          <w:i/>
        </w:rPr>
        <w:t>M. tuberculosis</w:t>
      </w:r>
      <w:r>
        <w:t xml:space="preserve"> isolates, isoniazid-susceptible and isoniazid-resistant alike, and derived two boundaries from the assay's own definitions: a reachability boundary, below which starting density cannot mathematically support the assigned log reduction, and an identifiability boundary, below which a floor-level reading cannot be distinguished from a lower tolerance class. Both boundaries were then tested prospectively in </w:t>
      </w:r>
      <w:r>
        <w:rPr>
          <w:i/>
        </w:rPr>
        <w:t>Escherichia coli</w:t>
      </w:r>
      <w:r>
        <w:t>.</w:t>
      </w:r>
    </w:p>
    <w:p>
      <w:r>
        <w:t xml:space="preserve">The standard classification proved structurally compromised. Thirty-three of 217 isolates lacked the starting density needed to physically reach their assigned 99.99 percent reduction, and none of them did. Eighteen isolates ended the assay exactly at the detection floor; a third were compatible with more than one tolerance class, admitting no unique classification. These floor-level outcomes tracked growth rate, and isoniazid-resistant isolates, seeded at a tenfold lower starting density than susceptible ones, were disproportionately exposed to this artifact. The </w:t>
      </w:r>
      <w:r>
        <w:rPr>
          <w:i/>
        </w:rPr>
        <w:t>E. coli</w:t>
      </w:r>
      <w:r>
        <w:t xml:space="preserve"> experiment confirmed both boundaries outside </w:t>
      </w:r>
      <w:r>
        <w:rPr>
          <w:i/>
        </w:rPr>
        <w:t>M. tuberculosis</w:t>
      </w:r>
      <w:r>
        <w:t>: adjusting the plated volume alone assigned two conflicting tolerance labels to a single culture at six of 54 sample times.</w:t>
      </w:r>
    </w:p>
    <w:p>
      <w:r>
        <w:t>A rifampicin tolerance classification made without reporting starting density and detection floor is mathematically uninterpretable, and isoniazid-resistant tuberculosis, read at the edge of that floor, is where the distortion concentrates.</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the compounds that could shorten a regimen are picked out of in vitro killing experiments. The experiment is simple — grow the organism, add the drug, and at set times dilute a sample, spread it on a plate, and count the colonies, each standing for one bacterium alive when it was plated — and the counts over time are the killing curve.</w:t>
      </w:r>
    </w:p>
    <w:p>
      <w:r>
        <w:t>Every clinical microbiologist already knows the trap in that last step. A culture taken after antibiotics have started is not evidence of sterility. It is why blood cultures are drawn before the first dose. A drug suppresses growth, injures cells sublethally, carries over into the medium, and drives the population beneath what the plate can see; the plate then reports absence, and absence is not what happened. The rule is old, it is correct, and nobody disputes it.</w:t>
      </w:r>
    </w:p>
    <w:p>
      <w:r>
        <w:t xml:space="preserve">The plate also has a hard floor, and the pipette sets it. The smallest positive result is one colony, and what one colony means depends on how much you spread. Plate 100 µL and one colony is 10 bacteria per mL. That is the floor. Anything below it comes back as no growth, which is not the same as nothing there. Write </w:t>
      </w:r>
      <w:r>
        <w:rPr>
          <w:i/>
        </w:rPr>
        <w:t>L</w:t>
      </w:r>
      <w:r>
        <w:t xml:space="preserve"> for that floor and </w:t>
      </w:r>
      <w:r>
        <w:rPr>
          <w:i/>
        </w:rPr>
        <w:t>N₀</w:t>
      </w:r>
      <w:r>
        <w:t xml:space="preserve"> for the starting density.</w:t>
      </w:r>
    </w:p>
    <w:p>
      <w:r>
        <w:t>Tuberculosis makes the old rule expensive, because the phenotype invoked to explain why treatment takes so long is itself defined by a duration. That phenotype is tolerance: the capacity of a genetically susceptible population to survive an exposure that should kill it. These bacteria are not resistant. The drug still works on them. They just take a long time to die, and that time is the measurement. A phenotype defined by a duration is defined by exactly the observation the old rule warns about.</w:t>
      </w:r>
    </w:p>
    <w:p>
      <w:r>
        <w:t xml:space="preserve">The field's response was to engineer around the warning rather than ignore it. Rather than asking whether a culture went negative, the modern definition asks how many logs the population fell: the minimum duration for killing, MDK, is the time to a specified fractional reduction — 90, 99 or 99.99 per cent — and it is proposed as the tolerance counterpart to the minimum inhibitory concentration (2, 3). The choice of a </w:t>
      </w:r>
      <w:r>
        <w:rPr>
          <w:i/>
        </w:rPr>
        <w:t>fraction</w:t>
      </w:r>
      <w:r>
        <w:t xml:space="preserve">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 That is the property it was built to have.</w:t>
      </w:r>
    </w:p>
    <w:p>
      <w:r>
        <w:t>Two things are worth separating before going further. As defined by Brauner and colleagues and codified in the field's consensus guidelines, MDK is not a plate-count metric — it was first measured from presence or absence of survivors in microwell arrays of about a hundred cells, a design chosen specifically to avoid dilution plating, and the guidelines say how the smallest detectable count should be established (3, 4). What this paper examines is the form the tuberculosis field adopted: log-reduction endpoints computed from plate counts and most-probable-number series against a measured starting density. The floor problem belongs to that implementation, not the definition, and every deposit here uses it.</w:t>
      </w:r>
    </w:p>
    <w:p>
      <w:r>
        <w:t xml:space="preserve">The property holds in the definition. It does not hold in the measurement, and the gap between the two is what this paper is about. To show a four-log kill you have to be able to see four logs down. A </w:t>
      </w:r>
      <w:r>
        <w:rPr>
          <w:i/>
        </w:rPr>
        <w:t>q</w:t>
      </w:r>
      <w:r>
        <w:t xml:space="preserve">-log reduction can be estimated only if </w:t>
      </w:r>
      <w:r>
        <w:rPr>
          <w:i/>
        </w:rPr>
        <w:t>q</w:t>
      </w:r>
      <w:r>
        <w:t xml:space="preserve"> logs are visible,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xml:space="preserve"> — the floor divided by the starting density. It is not a measurement of how many survived. The drug has dropped out of it, and what is left is the pipette and the inoculum. The metric designed to be inoculum-independent becomes a pure inoculum readout precisely at the depth where tolerance is scored. That is the second boundary, and we call it identifiability.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have to be kept distinct from it. A duration ceiling — the assay stopped looking — is not a count floor, which is the plate being unable to see. And recording a below-limit flag is not the same as scoring a duration from the points so recorded.</w:t>
      </w:r>
    </w:p>
    <w:p>
      <w:r>
        <w:t>This study asks how deep a log-reduction tolerance endpoint can be measured at all, and whether real isolates have been assigned tolerance phenotypes from outside that range. Two boundaries on the starting density follow from the definitions — one deciding whether an endpoint is reachable, the other whether a floor-level reading identifies a class — and both are computed from quantities a time-kill protocol already records. Neither asks a laboratory to measure anything new.</w:t>
      </w:r>
    </w:p>
    <w:p>
      <w:r>
        <w:t xml:space="preserve">Answering that question at all requires deposits that record the three quantities the arithmetic needs — a starting density measured before treatment, a time series, and either a plated volume or a stated floor — and most do not. Of 78 candidate time-kill datasets assembled for this study, 45 were inspected in full; of the 40 distinct literature deposits among them, </w:t>
      </w:r>
      <w:r>
        <w:rPr>
          <w:b/>
        </w:rPr>
        <w:t>32 state no assay floor by any route</w:t>
      </w:r>
      <w:r>
        <w:t>. That number is not a preamble to the analysis; it is the first result, and it is why the five deposits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 one colony in a plated volume </w:t>
      </w:r>
      <w:r>
        <w:rPr>
          <w:i/>
        </w:rPr>
        <w:t>v</w:t>
      </w:r>
      <w:r>
        <w:t xml:space="preserve"> µL is </w:t>
      </w:r>
      <w:r>
        <w:rPr>
          <w:i/>
        </w:rPr>
        <w:t>L</w:t>
      </w:r>
      <w:r>
        <w:t xml:space="preserve"> = 1 000/</w:t>
      </w:r>
      <w:r>
        <w:rPr>
          <w:i/>
        </w:rPr>
        <w:t>v</w:t>
      </w:r>
      <w:r>
        <w:t xml:space="preserve"> per mL, and an MPN series uses the lowest table rung (5, 6).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The plate's floor sets how far down killing can be seen</w:t>
      </w:r>
    </w:p>
    <w:p>
      <w:r>
        <w:t>The most probable number (MPN) readings can only take the discrete values of an MPN table (5, 6) —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 xml:space="preserve">Each isolate therefore carries a fixed budget of killing the assay can see. At 15 days of prior culture the starting densities run from 2 300 to 61 000 000 per mL — 3.36 to 7.79 log10 — so headroom, the distance from the starting density down to the floor, runs from 2.00 to 6.42 log10 (Fig. 1B, Table 1). Both spans are the same 4.42 log10. Subtracting the displayed endpoints does not reproduce that, and should not: every log10 here is computed from the raw most-probable-number rungs against a floor of 23 per mL and rounded once, at the end, so the deepest headroom displays as 6.42 rather than as the 6.43 that 7.79 minus 1.36 returns. The fold figures quoted throughout are likewise ten raised to the unrounded difference rather than to the displayed one. Against that budget the three deposited endpoints behave very differently. Every isolate has the room for a 90 or a 99 per cent reduction: 0 of 217 fall short in both cases. </w:t>
      </w:r>
      <w:r>
        <w:rPr>
          <w:b/>
        </w:rPr>
        <w:t>Thirty-three of 217 isolates — 15.2 per cent — lack the headroom for the 99.99 per cent endpoint</w:t>
      </w:r>
      <w:r>
        <w:t>, which is to say that a four-log reduction was unobservable for them before rifampicin was added. Two of those 33 carry a fourth label that the deposit writes literally as "MDR", conventionally multidrug-resistant. It is unordered with respect to the other three, so no ordered analysis can place it (Table S2); over the 203 isolates with an ordered label the same count is 31.</w:t>
      </w:r>
    </w:p>
    <w:p>
      <w:r>
        <w:t xml:space="preserve">All 33 are recorded as not having reached the endpoint — they sit at the </w:t>
      </w:r>
      <w:r>
        <w:rPr>
          <w:b/>
        </w:rPr>
        <w:t>assay ceiling</w:t>
      </w:r>
      <w:r>
        <w:t xml:space="preserve">. That is a census of the affected isolates, not an estimate. The ceiling is a different censoring mechanism from the floor and should not be read as its mirror. The floor censors the count: anything below </w:t>
      </w:r>
      <w:r>
        <w:rPr>
          <w:i/>
        </w:rPr>
        <w:t>L</w:t>
      </w:r>
      <w:r>
        <w:t xml:space="preserve"> is not reported as a count. The ceiling censors time: the killing assay runs six days, so an isolate that has not reached its endpoint by then is recorded at the last day rather than at the day it would have reached. One sets how deep the assay can see, the other how long it looks. Among the 184 isolates that did have four logs of headroom, 162 are also at the ceiling, 88.0 per cent.</w:t>
      </w:r>
    </w:p>
    <w:p>
      <w:pPr>
        <w:spacing w:before="240"/>
      </w:pPr>
      <w:r>
        <w:rPr>
          <w:b/>
          <w:sz w:val="22"/>
        </w:rPr>
        <w:t>2. The same floor reading was given different tolerance labels</w:t>
      </w:r>
    </w:p>
    <w:p>
      <w:r>
        <w:t>The deposited tolerance level is a cut-off on the recorded surviving fraction, with no overlap between classes. The thresholds themselves are not deposited. They are recovered here, and the data pin them only to the gaps between classes: at day 5 and 15 days of prior culture, low tolerance covers fractions below 10⁻³, medium covers 10⁻³ to 10⁻², and high exceeds 10⁻². Those cuts reproduce every usable class in the file, 203 of 203 (Table S3). Usable means the 203 of 217 isolates whose label is one of the three ordered classes; the other 14 carry the fourth, unordered category, the "MDR" label above, that no ordered analysis can place (Table S2). So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and the difference matters. Their starting densities span 265-fold, from 23 000 to 6.1 × 10⁶ per mL, so the same terminal reading implies a different range of compatible reductions in each. An isolate that began at 23 000 has demonstrated at least a 3.00-log reduction; one that began at 6.1 × 10⁶ at least 5.42 logs. In either case the true reduction may be anything from that bound down to complete kill. What the deposit records instead is a single number per isolate, </w:t>
      </w:r>
      <w:r>
        <w:rPr>
          <w:i/>
        </w:rPr>
        <w:t>L</w:t>
      </w:r>
      <w:r>
        <w:t>/</w:t>
      </w:r>
      <w:r>
        <w:rPr>
          <w:i/>
        </w:rPr>
        <w:t>N₀</w:t>
      </w:r>
      <w:r>
        <w:t>, and those recorded fractions span 265-fold, from 3.8 × 10⁻⁶ to 1.0 × 10⁻³ — exactly the span of the starting densities (Fig. 1C), because that is what the ratio is. They are upper bounds on survival, not measurements of it.</w:t>
      </w:r>
    </w:p>
    <w:p>
      <w:r>
        <w:t xml:space="preserve">The labels those eighteen received differ. Six isolates that began at 23 000 per mL received a fraction of 10⁻³ and were classified </w:t>
      </w:r>
      <w:r>
        <w:rPr>
          <w:b/>
        </w:rPr>
        <w:t>medium</w:t>
      </w:r>
      <w:r>
        <w:t xml:space="preserve"> tolerance; twelve that began at 230 000 or above received 10⁻⁴ or less and were classified </w:t>
      </w:r>
      <w:r>
        <w:rPr>
          <w:b/>
        </w:rPr>
        <w:t>low</w:t>
      </w:r>
      <w:r>
        <w:t>. A single cut on the starting density alone reproduces all eighteen (Table 2). That is a statement about the classification step and not about the killing: once a reading is censored at the floor, the starting density fixes which label the published rule is able to return.</w:t>
      </w:r>
    </w:p>
    <w:p>
      <w:r>
        <w:t>So for twelve of the eighteen the recorded label carries no information beyond the fact that the reading was censored, and for six it is not determinate at all. None of the eighteen is a measurement of the surviving fraction.</w:t>
      </w:r>
    </w:p>
    <w:p>
      <w:pPr>
        <w:spacing w:before="240"/>
      </w:pPr>
      <w:r>
        <w:rPr>
          <w:b/>
          <w:sz w:val="22"/>
        </w:rPr>
        <w:t>3. The affected isolates are named before the drug is added</w:t>
      </w:r>
    </w:p>
    <w:p>
      <w:r>
        <w:t>Sections 1 and 2 counted isolates. The two boundaries derived in the Methods do more than that.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230 000 per mL and </w:t>
      </w:r>
      <w:r>
        <w:rPr>
          <w:i/>
        </w:rPr>
        <w:t>N</w:t>
      </w:r>
      <w:r>
        <w:t>_id = 23/10⁻³ = 23 000 per mL. Applied to the 15-day panel, the first predicts 33 isolates unable to reach the 99.99 per cent endpoint. The second predicts that of the eighteen isolates whose reading rests on the floor, twelve have only the lowest class compatible with that reading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That agreement is an identity rather than a passed test. Once the label is a cut on the recorded fraction (Table S3)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What is sharp is the boundary case, and it is the part of this section that discriminates. Six isolates sit at exactly 23 000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and the claim is a prediction that any dataset reporting a starting density, a floor and a threshold classification can be checked against.</w:t>
      </w:r>
    </w:p>
    <w:p>
      <w:pPr>
        <w:spacing w:before="240"/>
      </w:pPr>
      <w:r>
        <w:rPr>
          <w:b/>
          <w:sz w:val="22"/>
        </w:rPr>
        <w:t>4. What the plate misses is not only what lies below its floor</w:t>
      </w:r>
    </w:p>
    <w:p>
      <w:r>
        <w:t>Everything above is about the floor. One published observation in this organism shows that the floor is not the only reason a colony count understates the population, and it is set out here because the two failures are easy to confuse and must not be.</w:t>
      </w:r>
    </w:p>
    <w:p>
      <w:r>
        <w:t>Evangelopoulos and colleagues counted the same mouse lungs three ways — colony count, a molecular bacterial load from 16S rRNA, and a most probable number — on their way to a different question (7). Under the deepest regimens the colony count reads zero in every animal. In three arms, 18 lungs in all, the plate declared every lung sterile while the most probable number on that same tissue ran from 1 450 to 18 700 per lung. The molecular load can be dismissed as nucleic acid outliving its owner. The most probable number cannot, because it is a culture, and growth in a dilution series requires an organism that is alive and culturable.</w:t>
      </w:r>
    </w:p>
    <w:p>
      <w:r>
        <w:t xml:space="preserve">That gap is not the detection floor, and the arithmetic says so. Neither assay's floor is reported in the deposit, but for censoring to explain a plate reading of zero against 1 450 organisms in the same tissue, the colony count's floor would have to sit above 1 450 per lung — which would mean plating a vanishingly small fraction of the homogenate, far less than any lung protocol plates. The organisms were there, they were alive, they grew in a liquid dilution series, and they did not form colonies on solid medium. That is differential culturability, not censoring. It is a described phenotype of </w:t>
      </w:r>
      <w:r>
        <w:rPr>
          <w:i/>
        </w:rPr>
        <w:t>M. tuberculosis</w:t>
      </w:r>
      <w:r>
        <w:t xml:space="preserve"> with a literature of its own: bacilli that require resuscitation-promoting factors to grow dominate pre-treatment sputum and rise as a proportion of the population during chemotherapy (8), both resuscitation-promoting-factor-dependent and -independent differentially culturable populations are recovered from patients whose solid-medium cultures return nothing (9), and the mechanism has been reproduced experimentally: rifamycin action on RNA polymerase, independent of any assay's floor, converts a starved population to over 90 per cent differentially detectable in vitro (10) — the same drug class every arm of the Evangelopoulos regimen carries.</w:t>
      </w:r>
    </w:p>
    <w:p>
      <w:r>
        <w:t>Keeping the two apart matters for what this paper claims. Reachability and identifiability are arithmetic on the plated volume; they hold whether or not every viable organism forms a colony, and they would hold in an assay with perfect culturability. Differential culturability is biology, it acts on the numerator rather than on the floor, and nothing in this paper derives it or measures it. Neither depends on the other, and they push the same way: a count that is both floored and culture-selective understates the surviving population twice over, and a log-reduction endpoint read off that count inherits the pair of them. The mouse model that decides which regimens enter clinical trials reads out in colony counts, and this is the region it reads them in.</w:t>
      </w:r>
    </w:p>
    <w:p>
      <w:r>
        <w:t xml:space="preserve">Back to the floor itself, and to what it costs. That deposit establishes no floor of its own. Five further </w:t>
      </w:r>
      <w:r>
        <w:rPr>
          <w:i/>
        </w:rPr>
        <w:t>M. tuberculosis</w:t>
      </w:r>
      <w:r>
        <w:t xml:space="preserve"> deposits in the same screen do, and they are not reassuring. Across those five — sputum from pulmonary tuberculosis, axenic culture, an auxotrophic H37Rv panel and two drug-development series, with floors from 13 to 200 CFU/mL — </w:t>
      </w:r>
      <w:r>
        <w:rPr>
          <w:b/>
        </w:rPr>
        <w:t>184 of 310 series could not have demonstrated a four-log reduction however completely the drug worked, and 240 of 310 could not have demonstrated five</w:t>
      </w:r>
      <w:r>
        <w:t xml:space="preserve"> (Table S4). One of the five could not have shown four logs in a single one of its 123 series. None of these five carries the analysis above, and none is among the five deposits reanalysed in this paper; they are what the same screen found in the same organism, and they say the reachability problem is not a property of one clinical panel.</w:t>
      </w:r>
    </w:p>
    <w:p>
      <w:pPr>
        <w:spacing w:before="240"/>
      </w:pPr>
      <w:r>
        <w:rPr>
          <w:b/>
          <w:sz w:val="22"/>
        </w:rPr>
        <w:t>5. The label tracks how fast an isolate grows, and its link to resistance cannot be separated from the inoculum</w:t>
      </w:r>
    </w:p>
    <w:p>
      <w:r>
        <w:t>We asked what the deposited tolerance label goes with. There are two candidate predictors, and each is tested at two culture ages and at two endpoint depths, which is eight tests in all. Eight tests on one question will throw up a false positive on their own, so we correct them together as one family. Two survive (Table S5).</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xml:space="preserve"> — until the starting density enters the model. On its own, a resistant isolate has 2.32 times the odds of a higher tolerance class (95 per cent CI 1.30 to 4.12, p = 0.0042). Adjusted for starting density the odds ratio falls to 1.31 (0.67 to 2.57, p = 0.42), and the interval no longer excludes one. The two figures estimate different things: the unadjusted 2.32 is the total effect of resistance on the label, and the adjusted 1.31 is the controlled direct effect with the inoculum held fixed under an assumption this deposit cannot test on its own — that starting density sits on the causal path as a mediator here rather than beside it as a confounder. The reverse reading is equally available a priori: if slow growth both thins the inoculum and causes genuine tolerance, adjusting for starting density would remove real signal rather than a confounder, not attenuate a spurious one (Discussion weighs the two readings against each other). The mediation decomposition under the mediator reading is Table S6. What is not in question, whichever reading is right, is that the association weakens once starting density enters the model: 185 of the 203 calls still rest on a measured, uncensored numerator. Starting density is the strongest term in the file: every ten-fold rise in the starting most probable number halves the odds of a higher tolerance class (OR 0.480, 0.340 to 0.677, p = 2.9 × 10⁻⁵).</w:t>
      </w:r>
    </w:p>
    <w:p>
      <w:r>
        <w:t>Why the adjustment does that is measurable. Isoniazid-resistant isolates go into this assay at 5.36 log10 against 6.36 for susceptible isolates, ten-fold thinner (Mann–Whitney p = 9.1 × 10⁻¹⁴) (11), and 22 of the 84 resistant isolates carrying an ordered label lack the headroom for the deepest endpoint, 26.2 per cent, against 9 of the 119 susceptible, 7.6 per cent. Those two counts are the 31 of Section 1, which is that section's 33 less the two isolates whose label is the unordered fourth category. They are one log short of observable killing before the experiment begins.</w:t>
      </w:r>
    </w:p>
    <w:p>
      <w:r>
        <w:t>In that stratum the two surviving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6. One written protocol does not give every laboratory the same depth to look down</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(12, 13). It does.</w:t>
      </w:r>
    </w:p>
    <w:p>
      <w:r>
        <w:t>At ten times the minimum inhibitory concentration of moxifloxacin all six laboratories return a positive kill rate, and the rates span 5.2-fold, from 0.090 to 0.464 log10 CFU/mL per day. Across all 30 laboratory-by-arm cells the Tobit estimate — a fit that treats a below-floor reading as below the floor rather than as a number — and the imputation estimate never differ by more than 0.006 log10 per day (Fig. 2A, Table S7). That agreement says the fit is not an artefact of the arithmetic used to reach it. It does not say the sub-floor assumption is safe: both estimators assume the same normal distribution below the floor, and nothing in this deposit can check that assumption from the inside.</w:t>
      </w:r>
    </w:p>
    <w:p>
      <w:r>
        <w:t>The two orderings do not correspond. Rank the laboratories by starting density and the three lowest are exactly the three that recorded crossings, the three highest exactly the three that did not, without exception — a split with probability 1/20 under chance alone, so it is reported as an ordering and not a test (Table S8). Rank them by kill rate and there is no such correspondence (Fig. 2B). Institute F has the highest starting density at 6.53 log10 among the treated flasks of this arm, kills faster than four of the other five at 0.223 log10 per day, and records no crossing. Institute E returns the slowest rate of all at 0.090 and also records none.</w:t>
      </w:r>
    </w:p>
    <w:p>
      <w:pPr>
        <w:spacing w:before="240"/>
      </w:pPr>
      <w:r>
        <w:rPr>
          <w:b/>
          <w:sz w:val="22"/>
        </w:rPr>
        <w:t>7. The same boundaries hold in an experiment the framework never saw</w:t>
      </w:r>
    </w:p>
    <w:p>
      <w:r>
        <w:t xml:space="preserve">Every section so far tests the framework on the deposits it was built from, and all of them are </w:t>
      </w:r>
      <w:r>
        <w:rPr>
          <w:i/>
        </w:rPr>
        <w:t>Mycobacterium tuberculosis</w:t>
      </w:r>
      <w:r>
        <w:t>. A search of five general repositories, the tuberculosis consortia, the persistence literature, food microbiology and the hollow-fibre field returned one deposit that carried all three fields the boundaries require and could be analysed cold. That is a statement about what that search returned, not about what exists.</w:t>
      </w:r>
    </w:p>
    <w:p>
      <w:r>
        <w:t>The point of this section is a deposit opened after every boundary and threshold was fixed, and only one deposit qualifies on that ground.</w:t>
      </w:r>
    </w:p>
    <w:p>
      <w:r>
        <w:t xml:space="preserve">That it is </w:t>
      </w:r>
      <w:r>
        <w:rPr>
          <w:i/>
        </w:rPr>
        <w:t>E. coli</w:t>
      </w:r>
      <w:r>
        <w:t xml:space="preserve"> in a hollow-fibre system rather than </w:t>
      </w:r>
      <w:r>
        <w:rPr>
          <w:i/>
        </w:rPr>
        <w:t>M. tuberculosis</w:t>
      </w:r>
      <w:r>
        <w:t xml:space="preserve"> in a flask makes it a harder test and not a softer one. A rule fitted to tuberculosis time-kill data could be expected to fit more tuberculosis time-kill data; what it has no right to survive is a different organism, a different drug class and a different apparatus. The boundaries are derived from definitions, so they predict they will survive exactly that, and this is where that prediction was put at risk.</w:t>
      </w:r>
    </w:p>
    <w:p>
      <w:r>
        <w:t xml:space="preserve">Dubey and colleagues (2026) report amoxicillin-clavulanate against </w:t>
      </w:r>
      <w:r>
        <w:rPr>
          <w:i/>
        </w:rPr>
        <w:t>Escherichia coli</w:t>
      </w:r>
      <w:r>
        <w:t xml:space="preserve"> in a hollow-fibre system (14, 15). Their Methods state 100 µL plated with counts per mL, so </w:t>
      </w:r>
      <w:r>
        <w:rPr>
          <w:i/>
        </w:rPr>
        <w:t>L</w:t>
      </w:r>
      <w:r>
        <w:t xml:space="preserve"> = 10 CFU/mL is derived rather than inferred, and the file corroborates the derivation: a 100 µL plate reporting per mL can return only multiples of ten, and all 229 genuine counts in the deposit are multiples of ten, the smallest exactly ten. Sixty-nine further entries read as one, which no 100 µL plate can produce; they are the deposit's placeholder for below the floor.</w:t>
      </w:r>
    </w:p>
    <w:p>
      <w:r>
        <w:t>Across the 20 cultures with a measured day-zero density, headroom runs from 4.85 to 5.45 log10. Endpoints at 1, 2, 3 and 4 logs are reachable for every culture. A 5-log endpoint is unreachable for 5 of 20. A 6-log endpoint is unreachable for all 20 (Table S9). On data it was not built from, the framework therefore locates the depth at which a sterilisation claim in this experiment stops being demonstrable.</w:t>
      </w:r>
    </w:p>
    <w:p>
      <w:r>
        <w:t xml:space="preserve">Two features of that deposit are worth recording because they are the failure modes this framework is meant to catch. Its Methods give a nominal inoculum of 10⁵ CFU/mL while the file measures a median of 1.215 × 10⁶, so taking </w:t>
      </w:r>
      <w:r>
        <w:rPr>
          <w:i/>
        </w:rPr>
        <w:t>N₀</w:t>
      </w:r>
      <w:r>
        <w:t xml:space="preserve"> from the Methods rather than from the data would have placed a full order of magnitude into every boundary. And its treated arm reads at or below the floor already at day zero while the paired control reads about 10⁶. Either that sample was drawn after exposure rather than before it, or the day-zero value is a placeholder or a transcription error; the file cannot distinguish the two, and we flag the reading rather than treat it as a measured time zero.</w:t>
      </w:r>
    </w:p>
    <w:p>
      <w:pPr>
        <w:spacing w:before="240"/>
      </w:pPr>
      <w:r>
        <w:rPr>
          <w:b/>
          <w:sz w:val="22"/>
        </w:rPr>
        <w:t>8. One culture, two plated volumes, two tolerance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 the starting densities that decide whether an endpoint is reachable and a label means anything — with its predictions written down before a plate was counted. </w:t>
      </w:r>
      <w:r>
        <w:rPr>
          <w:i/>
        </w:rPr>
        <w:t>Escherichia coli</w:t>
      </w:r>
      <w:r>
        <w:t xml:space="preserve"> ATCC 25922, of the American Type Culture Collection — the reference strain the standard names for quality control — against ciprofloxacin at ten times the concentration that stops it growing. Three seeding densities, two plated volumes, three flasks each, 216 plate readings.</w:t>
      </w:r>
    </w:p>
    <w:p>
      <w:r>
        <w:t xml:space="preserve">It is </w:t>
      </w:r>
      <w:r>
        <w:rPr>
          <w:i/>
        </w:rPr>
        <w:t>Escherichia coli</w:t>
      </w:r>
      <w:r>
        <w:t xml:space="preserve"> and not </w:t>
      </w:r>
      <w:r>
        <w:rPr>
          <w:i/>
        </w:rPr>
        <w:t>M. tuberculosis</w:t>
      </w:r>
      <w:r>
        <w:t xml:space="preserve">, and that is a design choice rather than a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is what makes the floor reachable in every arm and the prediction falsifiable in a week rather than a year. ATCC 25922 is not a substitute chosen for ease either: it is the quality-control reference strain the standard itself names, so the demonstration runs in the one organism whose assay geometry the standard defines.</w:t>
      </w:r>
    </w:p>
    <w:p>
      <w:r>
        <w:t xml:space="preserve">The middle arm was seeded on purpose at the 5 × 10⁵ per mL the standard specifies. The densities actually reached were 6.4 × 10⁴, 4.4 × 10⁵ and 3.8 × 10⁶ per mL, quoted as arm means. Those three figures are means, and every figure after them is per flask. The distinction is not cosmetic: </w:t>
      </w:r>
      <w:r>
        <w:rPr>
          <w:i/>
        </w:rPr>
        <w:t>N</w:t>
      </w:r>
      <w:r>
        <w:t xml:space="preserve">₀ is not a setting the protocol supplies but a measurement made once per culture, so headroom belongs to a flask rather than to an arm. At the 100 µL plating the low arm's three flasks have 4.19, 4.11 and 4.00 logs of headroom, the last of them exactly at the four-log endpoint. Everything below is therefore reported per flask. </w:t>
      </w:r>
      <w:r>
        <w:rPr>
          <w:b/>
        </w:rPr>
        <w:t>At the standard inoculum plated at 10 µL, the deepest reduction the three flasks could report ran from 3.71 to 3.93 logs — each flask's own ceiling, not the drug's</w:t>
      </w:r>
      <w:r>
        <w:t xml:space="preserve"> — while those same three cultures plated at 100 µL ran from 4.88 to 5.05 (Fig. S5B, Table S10). Every flask is paired with itself across the two platings, so the comparison is within a culture rather than between cultures.</w:t>
      </w:r>
    </w:p>
    <w:p>
      <w:r>
        <w:t xml:space="preserve">That much is arithmetic, as Box 1 says.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 two different floors over one starting density — so they can fall either side of a class threshold and give one culture two labels. </w:t>
      </w:r>
      <w:r>
        <w:rPr>
          <w:b/>
        </w:rPr>
        <w:t>The quantity that could have come out zero is how often a real experiment lands in the window where those two fractions straddle the cut</w:t>
      </w:r>
      <w:r>
        <w:t>, and it depends on where the cut is (Fig. S5C, Table S11). Put the cut at one per cent and the window is nearly shut. Put it at one in a thousand, which is where the clinical classification analysed above cuts its lowest class, and six of 54 sample-times receive two different labels from one culture — one in nine. That cut is imported from the tuberculosis classification; nothing in the E. coli experiment derives it, and it serves here as a ruler for the window's width, not as a claim about E. coli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 and once it is a number, it is harder to see.</w:t>
      </w:r>
    </w:p>
    <w:p>
      <w:r>
        <w:t xml:space="preserve">The standard is not silent on that choice, and this is the paper's sharpest finding rather than an awkwardness for it. M26-A's own section 1.3.2.5, headed </w:t>
      </w:r>
      <w:r>
        <w:rPr>
          <w:i/>
        </w:rPr>
        <w:t>Volume Transferred</w:t>
      </w:r>
      <w:r>
        <w:t>, ties the volume to the endpoint with a counting rule: after the defined 99.9 per cent killing, at least ten colonies must remain (16) —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not for lack of care but because the endpoint moved: M26-A nowhere contemplates a four-log call, and the volume rule did not travel with the deeper endpoints.</w:t>
      </w:r>
    </w:p>
    <w:p>
      <w:r>
        <w:t>Take the assay's contribution out and what is left makes biological sense. Growth state predicts the tolerance class before and after adjustment for starting density — isoniazid needs KatG and active cell-wall synthesis (17), rifampicin needs transcription (18), and a population that is not dividing offers less of what these drugs act on. The classification is reading physiological state, not drug susceptibility.</w:t>
      </w:r>
    </w:p>
    <w:p>
      <w:r>
        <w:t>That axis is the one tuberculosis drug development already leans on. Killing assays of this design rank regimens before they enter trials, and tolerance followed in patients is now being read as within-host evolution (19). If a tolerance classification is partly an inoculum measurement, conclusions drawn from it — that one regimen sterilises faster than another, that a patient's isolates are becoming more tolerant over therapy — are in part conclusions about how the assay was set up. The correction applied here does not remove the biology; it aims it at the right target. The phenotype that survives the correction is growth state, which is real, targetable and directly measurable, unlike a fraction read off a floor.</w:t>
      </w:r>
    </w:p>
    <w:p>
      <w:r>
        <w:t>The prospective experiment has a limitation of its own, and it is the one a reader of this paper should raise first. Its samples were diluted in saline and plated; they were not washed, filtered or treated to inactivate the drug, and no carryover control was run. Antibiotic carried onto the plate suppresses colony formation without killing anything, which is the same class of counting artefact this paper is about, and at the shallow dilutions a culture near its floor is read on, dilution is the only thing containing it. The design is conservative in this respect rather than clean: the larger plated volume carries ten times more drug to the plate, so carryover would shrink the very difference between the two platings that Section 8 reports. It would not manufacture it. But the experiment cannot exclude carryover, and a repetition should include the control that would.</w:t>
      </w:r>
    </w:p>
    <w:p>
      <w:r>
        <w:t>Several limitations here bound what the analysis can establish; each points at the experiment that would settle the question, and the ones bearing on the claims made are given here, with the rest in the supplement.</w:t>
      </w:r>
    </w:p>
    <w:p>
      <w:r>
        <w:t xml:space="preserve">This paper has already acted on the first rather than merely declaring it. Flasks from one laboratory share a starting culture; repeat isolates come from a patient already counted. Every conclusion from the two primary deposits was recomputed at the level where the observations really are independent, listed one line at a time rather than summarised (Table S8): twenty survive unchanged, six survive with much wider uncertainty, five do not survive and </w:t>
      </w:r>
      <w:r>
        <w:rPr>
          <w:b/>
        </w:rPr>
        <w:t>have already been removed from the text above</w:t>
      </w:r>
      <w:r>
        <w:t>, and one is withdrawn because the "no difference" it was tested against was already false before any data were seen. The ledger is printed so a reader can check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rPr>
          <w:b/>
        </w:rPr>
        <w:t>Choose the depth of the endpoint to fit the headroom actually available, rather than densifying the inoculum merely to buy more.</w:t>
      </w:r>
      <w:r>
        <w:t xml:space="preserve"> The inoculum this needs can be worked out before the experiment: seeding above </w:t>
      </w:r>
      <w:r>
        <w:rPr>
          <w:i/>
        </w:rPr>
        <w:t>L</w:t>
      </w:r>
      <w:r>
        <w:t xml:space="preserve"> · max(10^</w:t>
      </w:r>
      <w:r>
        <w:rPr>
          <w:i/>
        </w:rPr>
        <w:t>q</w:t>
      </w:r>
      <w:r>
        <w:t>, 1/</w:t>
      </w:r>
      <w:r>
        <w:rPr>
          <w:i/>
        </w:rPr>
        <w:t>c</w:t>
      </w:r>
      <w:r>
        <w:t>₁) makes both failure modes impossible — the endpoint that was never reachable, and the last count that lands on the floor. For this assay that is 230 000 per mL. Seeding higher also changes the experiment, because a denser culture is a different physiological state, and physiological state is what the tolerance label tracks — so where the deep endpoint is wanted, lower the assay floor; where the headroom will not carry it either way, the shallower endpoint is the honest one, and growth state belongs on the report whichever is chosen. This is a design decision that is currently not being made.</w:t>
      </w:r>
    </w:p>
    <w:p>
      <w:r>
        <w:rPr>
          <w:b/>
        </w:rPr>
        <w:t>Treat an endpoint at the floor as a bound, not a value.</w:t>
      </w:r>
      <w:r>
        <w:t xml:space="preserve"> Analysed as a measurement it manufactures differences between isolates whose final viable burdens the assay could not tell apart, and the same censored reading stands for a different demonstrated kill at every starting density.</w:t>
      </w:r>
    </w:p>
    <w:p>
      <w:r>
        <w:rPr>
          <w:b/>
        </w:rPr>
        <w:t>Fix the inoculum, or adjust for it, before comparing tolerance across groups.</w:t>
      </w:r>
      <w:r>
        <w:t xml:space="preserve"> The comparison that motivated this work — resistant against susceptible isolates — is confounded by a ten-fold difference in starting density, and nobody knows why that difference is there. Until it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the ASTM International (American Society for Testing and Materials) guide E2315 sets out how to run and report a time-kill procedure in general — organism, media, neutralisation, raw counts — for antimicrobial products broadly, and none of its reporting requirements is </w:t>
      </w:r>
      <w:r>
        <w:rPr>
          <w:i/>
        </w:rPr>
        <w:t>L</w:t>
      </w:r>
      <w:r>
        <w:t>, headroom or a censoring convention specific to a duration endpoint cut on a fraction of the starting count (20). The five fields above are additional to that guide, not a substitute for it,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that a tolerance call made without its headroom cannot be told apart from an inoculum measurement, and that the phenotype which does survive the correction is physiological state rather than drug susceptibility — not that tolerance is an artefact.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S12), a five-field minimum that makes any killing endpoint recomputable (Box 2), and a small tool that returns the endpoint a planned assay can support. None of it asks a laboratory for a new measurement;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pPr>
        <w:spacing w:before="240"/>
      </w:pPr>
      <w:r>
        <w:rPr>
          <w:b/>
          <w:sz w:val="22"/>
        </w:rPr>
        <w:t>Study design and data sources</w:t>
      </w:r>
    </w:p>
    <w:p>
      <w:r>
        <w:t xml:space="preserve">This study combined mathematical derivation, analysis of five public datasets, and a prospective </w:t>
      </w:r>
      <w:r>
        <w:rPr>
          <w:i/>
        </w:rPr>
        <w:t>Escherichia coli</w:t>
      </w:r>
      <w:r>
        <w:t xml:space="preserve"> experiment to examine how assay floors constrain antibiotic-tolerance endpoints. We assembled 78 candidate time-kill datasets from the published literature (21 August – 8 September 2026) and screened 45 of them field by field for the three quantities the two boundaries below require: a pre-treatment starting density, a longitudinal series of viable counts, and either a plated volume or a stated assay floor. Every inclusion and exclusion is recorded in a manifest deposited with the analysis code.</w:t>
      </w:r>
    </w:p>
    <w:p>
      <w:r>
        <w:t>Forty-one distinct records were inspected, one of them this paper's own prospective experiment. Of the 40 remaining literature deposits, 32 reported no assay floor by any route — no limit of detection, no limit of quantification, and no plated volume from which one could be derived. Eighteen deposits carried enough information to compute both boundaries at all, and five carried the complete set of fields the full analysis requires (Table 3, Figure S4). The full pipeline, from this screen through the prospective test of both boundaries, is summarised in Figure S6.</w:t>
      </w:r>
    </w:p>
    <w:p>
      <w:r>
        <w:t>These 78 candidates are a documented sample of the literature, assembled without a registered search protocol; the two boundaries are derived from definitions rather than estimated from the corpus's size, so a single deposit with a stated floor is enough to demonstrate them.</w:t>
      </w:r>
    </w:p>
    <w:p>
      <w:r>
        <w:t xml:space="preserve">Four datasets supported the empirical analyses. </w:t>
      </w:r>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and the authors' own tolerance level for each isolate (Vijay et al. 2024; eLife 93243 supplementary file 2) (21).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blinded laboratories (van Wijk et al. 2023; figshare 19766083, CC BY 4.0) (12, 13). Moxifloxacin and isoniazid at one and ten times the minimum inhibitory concentration, three flasks per arm, each sample plated at four volumes — 100 µL quadruplicate, 10 µL as four drops, 10 µL as a single drop, and 2.5 µL as a single drop — giving three distinct floors spanning 1.60 log10 within a single flask-visit (22). The file holds 2,775 readings; the analysis set, after dropping unusable values and pre-treatment visits, is 2,580.</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(Windels et al. 2024; Zenodo 10.5281/zenodo.7550302, CC BY 4.0) (23, 24). Six of its 595 surviving fractions are written as exact zeros with no named floor, so this deposit is one of two for which observability labels are refused.</w:t>
      </w:r>
    </w:p>
    <w:p>
      <w:r>
        <w:rPr>
          <w:b/>
        </w:rPr>
        <w:t>Concentration-by-time grid:</w:t>
      </w:r>
      <w:r>
        <w:t xml:space="preserve"> apramycin against </w:t>
      </w:r>
      <w:r>
        <w:rPr>
          <w:i/>
        </w:rPr>
        <w:t>M. tuberculosis</w:t>
      </w:r>
      <w:r>
        <w:t xml:space="preserve"> at 128, 32, 8, 4 and 1 µg/mL, triplicate log10 CFU at days 0, 3, 7 and 14 (Kaur et al. 2024; figshare 26462791, CC BY 4.0) (25, 26). The 1 µg/mL arm shows net growth rather than killing and is excluded from the dose comparison, leaving 4 to 128 µg/mL as the range compared (Text S3).</w:t>
      </w:r>
    </w:p>
    <w:p>
      <w:r>
        <w:t xml:space="preserve">A fifth dataset was evaluated only after the boundaries, thresholds, and modelling choices had been fixed. </w:t>
      </w:r>
      <w:r>
        <w:rPr>
          <w:b/>
        </w:rPr>
        <w:t>Validation deposit:</w:t>
      </w:r>
      <w:r>
        <w:t xml:space="preserve"> amoxicillin- clavulanate against </w:t>
      </w:r>
      <w:r>
        <w:rPr>
          <w:i/>
        </w:rPr>
        <w:t>Escherichia coli</w:t>
      </w:r>
      <w:r>
        <w:t xml:space="preserve"> in a hollow-fibre infection model, with 100 µL plated, measured day-zero densities for every culture, and below-limit readings retained as a placeholder (Dubey et al. 2026; article Source Data, CC BY 4.0) (14, 15). It was the only deposit found carrying all three fields the boundaries require, and no boundary, threshold or modelling choice in this paper was informed by it; it is used nowhere else in the paper except to confirm them (Section 7).</w:t>
      </w:r>
    </w:p>
    <w:p>
      <w:r>
        <w:t>Each dataset's organism, drug, design and licence is summarised in Table 1; the complete screening manifest and exclusion reasons accompany the analysis code.</w:t>
      </w:r>
    </w:p>
    <w:p>
      <w:pPr>
        <w:spacing w:before="240"/>
      </w:pPr>
      <w:r>
        <w:rPr>
          <w:b/>
          <w:sz w:val="22"/>
        </w:rPr>
        <w:t>Prospective experimental validation</w:t>
      </w:r>
    </w:p>
    <w:p>
      <w:r>
        <w:t xml:space="preserve">An </w:t>
      </w:r>
      <w:r>
        <w:rPr>
          <w:i/>
        </w:rPr>
        <w:t>in vitro</w:t>
      </w:r>
      <w:r>
        <w:t xml:space="preserve"> experiment was designed to prospectively test both boundaries. Its design sheet, predictions and plate counts are one workbook, deposited with the analysis code, with every prediction written down before a plate was counted.</w:t>
      </w:r>
    </w:p>
    <w:p>
      <w:r>
        <w:rPr>
          <w:i/>
        </w:rPr>
        <w:t>Escherichia coli</w:t>
      </w:r>
      <w:r>
        <w:t xml:space="preserve"> ATCC 25922, the CLSI quality-control reference strain, was grown in cation-adjusted Mueller–Hinton broth and plated on Mueller–Hinton agar, incubated at 35 ± 2 °C in ambient air (16, 27). The ciprofloxacin MIC, determined by CLSI reference broth microdilution (27, 28), was 0.008 mg/L, within the CLSI quality-control range for this strain (28); the exposure was set at ten times it, 0.08 mg/L, chosen to kill deeply and fast enough that every arm reaches the floor within the sampling window.</w:t>
      </w:r>
    </w:p>
    <w:p>
      <w:r>
        <w:t xml:space="preserve">Three seeding arms were set so the four-log endpoint is unreachable in one, marginal in the second and comfortable in the third: targets of 5 × 10⁴, 5 × 10⁵ and 5 × 10⁶ CFU/mL (the middle arm the CLSI-specified inoculum), reaching 6.4 × 10⁴, 4.4 × 10⁵ and 3.8 × 10⁶ CFU/mL as measured from day-zero counts — headroom of 4.11, 4.94 and 5.88 logs at the pooled 100 µL floor, and 3.11, 3.94 and 4.88 logs at the pooled 10 µL floor, so the lowest arm is reachable for a four-log endpoint only at the deeper plating. Three flasks per arm were sampled at 0, 1, 2, 4, 6 and 24 h; at each time, one dilution series was plated at both 100 µL and 10 µL in duplicate, giving 216 plate readings in all.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t>No carryover control was run. Because the 100 µL plating carries ten times as much drug onto the plate as the 10 µL plating of the same sample, any carryover effect works against the depth advantage the 100 µL plating is reported to have, so the paired comparison in Section 8 is conservative with respect to it.</w:t>
      </w:r>
    </w:p>
    <w:p>
      <w:r>
        <w:rPr>
          <w:i/>
        </w:rPr>
        <w:t>L</w:t>
      </w:r>
      <w:r>
        <w:t xml:space="preserve"> is one colony in the volume plated, referred back to the undiluted sample. The two technical plates of a sample are pooled rather than averaged, so their volumes add and the floor is lower than a single plate's: 5 CFU/mL for a pooled 100 µL pair against 10 CFU/mL for one plate, and the two platings differ by exactly one log by construction. Headroom, censoring at the floor and the three tolerance classes are applied unchanged from the definitions below; class labels use the thresholds of the clinical deposit above, </w:t>
      </w:r>
      <w:r>
        <w:rPr>
          <w:i/>
        </w:rPr>
        <w:t>c</w:t>
      </w:r>
      <w:r>
        <w:t xml:space="preserve">₁ = 10⁻³ and </w:t>
      </w:r>
      <w:r>
        <w:rPr>
          <w:i/>
        </w:rPr>
        <w:t>c</w:t>
      </w:r>
      <w:r>
        <w:t>₂ = 10⁻², so the two experiments are scored on one rule.</w:t>
      </w:r>
    </w:p>
    <w:p>
      <w:pPr>
        <w:spacing w:before="240"/>
      </w:pPr>
      <w:r>
        <w:rPr>
          <w:b/>
          <w:sz w:val="22"/>
        </w:rPr>
        <w:t>Assay floors and censoring</w:t>
      </w:r>
    </w:p>
    <w:p>
      <w:r>
        <w:t xml:space="preserve">No deposit analysed here reports a validated limit of quantification with a value.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where none is recorded it is inferred from the deposit and labelled as such. The term limit of quantification is used only in reporting what a source states.</w:t>
      </w:r>
    </w:p>
    <w:p>
      <w:r>
        <w:t xml:space="preserve">In running text </w:t>
      </w:r>
      <w:r>
        <w:rPr>
          <w:i/>
        </w:rPr>
        <w:t>L</w:t>
      </w:r>
      <w:r>
        <w:t xml:space="preserve"> is the </w:t>
      </w:r>
      <w:r>
        <w:rPr>
          <w:b/>
        </w:rPr>
        <w:t>assay floor</w:t>
      </w:r>
      <w:r>
        <w:t xml:space="preserve">, and that is the only short form used, so that "boundary" is left free for the two derived boundaries of the next subsection and never denotes a value. The event a time-to-event analysis records is correspondingly a first observed crossing below the assay floor. What </w:t>
      </w:r>
      <w:r>
        <w:rPr>
          <w:i/>
        </w:rPr>
        <w:t>L</w:t>
      </w:r>
      <w:r>
        <w:t xml:space="preserve"> is in each deposit is tabulated deposit by deposit (Table S13).</w:t>
      </w:r>
    </w:p>
    <w:p>
      <w:r>
        <w:t xml:space="preserve">Two censoring problems are handled separately. A </w:t>
      </w:r>
      <w:r>
        <w:rPr>
          <w:b/>
        </w:rPr>
        <w:t>count below the assay floor</w:t>
      </w:r>
      <w:r>
        <w:t xml:space="preserve"> is left-censored: the population is somewhere below a known value. In the clinical deposit the floor is inferred at 23 MPN/mL from three signatures — it is the smallest value in the file, nothing lies below it in 1,932 readings, and the minimum shifts by exactly a factor of ten per culture age; the conclusions drawn from it hold across the full range the deposit's own MPN table admits (Table S14). A </w:t>
      </w:r>
      <w:r>
        <w:rPr>
          <w:b/>
        </w:rPr>
        <w:t>crossing time not observed within the study</w:t>
      </w:r>
      <w:r>
        <w:t xml:space="preserve"> is right-censored: a flask that never falls below the floor contributes the information that its crossing time exceeds its last visit, and enters the survival likelihood as such rather than as missing.</w:t>
      </w:r>
    </w:p>
    <w:p>
      <w:r>
        <w:t xml:space="preserve">A volume-derived plate floor bounds the true count from above, [0, </w:t>
      </w:r>
      <w:r>
        <w:rPr>
          <w:i/>
        </w:rPr>
        <w:t>L</w:t>
      </w:r>
      <w:r>
        <w:t>]; an MPN rung does not, since its likelihood extends well above the rung. Every identifiability verdict was therefore recomputed under the assay's own likelihood rather than the plate-sweep bound, confirming the same classification under both treatments (Table S15). Each below-limit flag in the six-laboratory deposit is judged against its own plated volume's floor rather than pooled to the least sensitive volume, since pooling would discard genuine quantified counts a more sensitive plating of the same sample recorded (Table S13 note).</w:t>
      </w:r>
    </w:p>
    <w:p>
      <w:r>
        <w:t xml:space="preserve">A volume-derived floor is a point mass, with nothing to infer. A floor inferred from a pile-up on a most-probable-number rung carries a discrete posterior over the rungs at or below the observed minimum; the interval quoted is the 95 per cent highest-posterior-density support. Where no floor is evidenced, or the support spans more than one log10, observability labels are </w:t>
      </w:r>
      <w:r>
        <w:rPr>
          <w:b/>
        </w:rPr>
        <w:t>refused</w:t>
      </w:r>
      <w:r>
        <w:t xml:space="preserve"> rather than reported (Table S16): the clinical deposit passes this rule at 0.40 log10 of support, and two of the five deposits fail it. This paper fits nothing to predict an MDK — once </w:t>
      </w:r>
      <w:r>
        <w:rPr>
          <w:i/>
        </w:rPr>
        <w:t>L</w:t>
      </w:r>
      <w:r>
        <w:t xml:space="preserve"> is in hand the rest is derived.</w:t>
      </w:r>
    </w:p>
    <w:p>
      <w:r>
        <w:t>The same likelihood turns classification into an inference with its own refusal rule: given a floor reading, the posterior over the true count maps through starting density to a posterior over class, and an isolate is refused when no class reaches 95 per cent confidence (Table S12). The refusal holds across both well designs, both floor readings and two priors.</w:t>
      </w:r>
    </w:p>
    <w:p>
      <w:pPr>
        <w:spacing w:before="240"/>
      </w:pPr>
      <w:r>
        <w:rPr>
          <w:b/>
          <w:sz w:val="22"/>
        </w:rPr>
        <w:t>Reachability and identifiability boundaries</w:t>
      </w:r>
    </w:p>
    <w:p>
      <w:r>
        <w:t xml:space="preserve">For a culture starting at </w:t>
      </w:r>
      <w:r>
        <w:rPr>
          <w:i/>
        </w:rPr>
        <w:t>N₀</w:t>
      </w:r>
      <w:r>
        <w:t xml:space="preserve"> against an assay floor </w:t>
      </w:r>
      <w:r>
        <w:rPr>
          <w:i/>
        </w:rPr>
        <w:t>L</w:t>
      </w:r>
      <w:r>
        <w:t xml:space="preserve">, the </w:t>
      </w:r>
      <w:r>
        <w:rPr>
          <w:b/>
        </w:rPr>
        <w:t>headroom</w:t>
      </w:r>
      <w:r>
        <w:t xml:space="preserve"> is </w:t>
      </w:r>
      <w:r>
        <w:rPr>
          <w:i/>
        </w:rPr>
        <w:t>h</w:t>
      </w:r>
      <w:r>
        <w:t xml:space="preserve"> = log10(</w:t>
      </w:r>
      <w:r>
        <w:rPr>
          <w:i/>
        </w:rPr>
        <w:t>N₀</w:t>
      </w:r>
      <w:r>
        <w:t>/</w:t>
      </w:r>
      <w:r>
        <w:rPr>
          <w:i/>
        </w:rPr>
        <w:t>L</w:t>
      </w:r>
      <w:r>
        <w:t>), the deepest reduction the assay can resolve. Two boundaries follow from the definitions alone.</w:t>
      </w:r>
    </w:p>
    <w:p>
      <w:r>
        <w:rPr>
          <w:b/>
        </w:rPr>
        <w:t>Reachability.</w:t>
      </w:r>
      <w:r>
        <w:t xml:space="preserve"> A </w:t>
      </w:r>
      <w:r>
        <w:rPr>
          <w:i/>
        </w:rPr>
        <w:t>q</w:t>
      </w:r>
      <w:r>
        <w:t>-log endpoint is observable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 an upper bound, not a measurement. Given class thresholds 0 &lt; </w:t>
      </w:r>
      <w:r>
        <w:rPr>
          <w:i/>
        </w:rPr>
        <w:t>c</w:t>
      </w:r>
      <w:r>
        <w:t xml:space="preserve">₁ &lt; </w:t>
      </w:r>
      <w:r>
        <w:rPr>
          <w:i/>
        </w:rPr>
        <w:t>c</w:t>
      </w:r>
      <w:r>
        <w:t>₂ …, the class is determined by the data only if</w:t>
      </w:r>
    </w:p>
    <w:p>
      <w:r>
        <w:rPr>
          <w:i/>
        </w:rPr>
        <w:t>N₀</w:t>
      </w:r>
      <w:r>
        <w:t xml:space="preserve"> &gt; </w:t>
      </w:r>
      <w:r>
        <w:rPr>
          <w:i/>
        </w:rPr>
        <w:t>N</w:t>
      </w:r>
      <w:r>
        <w:t xml:space="preserve">_id = </w:t>
      </w:r>
      <w:r>
        <w:rPr>
          <w:i/>
        </w:rPr>
        <w:t>L</w:t>
      </w:r>
      <w:r>
        <w:t>/</w:t>
      </w:r>
      <w:r>
        <w:rPr>
          <w:i/>
        </w:rPr>
        <w:t>c</w:t>
      </w:r>
      <w:r>
        <w:t>₁,</w:t>
      </w:r>
    </w:p>
    <w:p>
      <w:r>
        <w:t xml:space="preserve">since the censored interval always contains zero and so is only compatible with the lowest class above this point. Both boundaries are properties of the method alone; seeding a culture above </w:t>
      </w:r>
      <w:r>
        <w:rPr>
          <w:i/>
        </w:rPr>
        <w:t>L</w:t>
      </w:r>
      <w:r>
        <w:t xml:space="preserve"> · max(10^</w:t>
      </w:r>
      <w:r>
        <w:rPr>
          <w:i/>
        </w:rPr>
        <w:t>q</w:t>
      </w:r>
      <w:r>
        <w:t>, 1/</w:t>
      </w:r>
      <w:r>
        <w:rPr>
          <w:i/>
        </w:rPr>
        <w:t>c</w:t>
      </w:r>
      <w:r>
        <w:t>₁) makes both failure modes impossible before an experiment runs.</w:t>
      </w:r>
    </w:p>
    <w:p>
      <w:pPr>
        <w:spacing w:before="240"/>
      </w:pPr>
      <w:r>
        <w:rPr>
          <w:b/>
          <w:sz w:val="22"/>
        </w:rPr>
        <w:t>Statistical analysis</w:t>
      </w:r>
    </w:p>
    <w:p>
      <w:r>
        <w:t xml:space="preserve">Log10 viable counts were modelled as a linear function of time using a </w:t>
      </w:r>
      <w:r>
        <w:rPr>
          <w:b/>
        </w:rPr>
        <w:t>Tobit model</w:t>
      </w:r>
      <w:r>
        <w:t xml:space="preserve"> with observation-specific left-censoring limits, fitted by maximum likelihood (29); a censored reading contributes log Φ((limit − µ)/σ), the probability it fell below its own limit — Beal's M3 written for this assay (30). As a computational consistency check, 50 imputed datasets were generated from the fitted truncated-normal distribution, analysed by ordinary least squares, and pooled using Rubin's rules (31); both procedures share the same distributional assumptions, and their agreement shows the answer does not depend on which arithmetic recovers it, not that the sub-floor distribution is normal.</w:t>
      </w:r>
    </w:p>
    <w:p>
      <w:r>
        <w:t xml:space="preserve">The growth proxy is the deposit's time to an optical density of 0.4, in days, so it runs inversely to growth rate. </w:t>
      </w:r>
      <w:r>
        <w:rPr>
          <w:b/>
        </w:rPr>
        <w:t>The tolerance label</w:t>
      </w:r>
      <w:r>
        <w:t xml:space="preserve"> was modelled as an ordered categorical outcome by proportional-odds ordinal logistic regression (32), with starting density as a prespecified covariate; proportional odds was tested by a Brant test per predictor (33) and a likelihood-ratio test against a generalised ordered logit (34), with the partial-proportional-odds fit reported where it fails and checked against a multinomial fit assuming no ordering (Table S17).</w:t>
      </w:r>
    </w:p>
    <w:p>
      <w:r>
        <w:rPr>
          <w:b/>
        </w:rPr>
        <w:t>Time-to-event analysis</w:t>
      </w:r>
      <w:r>
        <w:t xml:space="preserve"> treated the first observed crossing below the assay floor as the event, right-censoring series that never fall below it; 60 per cent of series that cross read above the floor again at a later visit, so the event is a crossing, not a clearance. The crossing time is interval-censored between the last visit above the floor and the first below it; interval-censored fits (35) are reported alongside Kaplan–Meier (36) and Cox proportional hazards (37) as descriptive summaries, with cluster bootstraps over laboratories and flasks (38) in place of the partial likelihood's independence assumption, and proportionality tested on Schoenfeld residuals (39, 40).</w:t>
      </w:r>
    </w:p>
    <w:p>
      <w:r>
        <w:rPr>
          <w:b/>
        </w:rPr>
        <w:t>The replicate-level bootstrap</w:t>
      </w:r>
      <w:r>
        <w:t xml:space="preserve"> (41) behind interval slopes resamples the three replicate counts with replacement, takes their mean, refits the concentration slope on each draw, and takes percentile intervals from 20,000 draws — reported instead of the least-squares fit through the deposited concentration means, which has two residual degrees of freedom and discards the replicate scatter. An interval on a proportion is the Jeffreys interval (42), which does not collapse to zero width at the sample sizes here.</w:t>
      </w:r>
    </w:p>
    <w:p>
      <w:r>
        <w:rPr>
          <w:b/>
        </w:rPr>
        <w:t>Causal mediation of the resistance association.</w:t>
      </w:r>
      <w:r>
        <w:t xml:space="preserve"> A linear product-of-coefficients mediation decomposes the total effect of isoniazid resistance on the day-5 tolerance class into an average causal mediation effect through log10 </w:t>
      </w:r>
      <w:r>
        <w:rPr>
          <w:i/>
        </w:rPr>
        <w:t>N₀</w:t>
      </w:r>
      <w:r>
        <w:t xml:space="preserve"> and an average direct effect (43, 44), with bootstrap percentile intervals from 5,000 resamples. A refit excludes the 18 of 203 isolates whose day-5 reading sits at or below the floor, since their recorded fraction carries no measured numerator. Sequential ignorability is assumed and untestable here; the sensitivity that matters is the residual correlation between mediator and outcome errors at which the point estimate crosses zero, about −0.23. No claim is made that unmeasured confounding is absent.</w:t>
      </w:r>
    </w:p>
    <w:p>
      <w:r>
        <w:rPr>
          <w:b/>
        </w:rPr>
        <w:t>Denominators.</w:t>
      </w:r>
      <w:r>
        <w:t xml:space="preserve"> A dozen denominators appear in this paper and each is derived in a single place (Table S2): the MDR tolerance label is dropped wherever an ordered outcome is fitted (14 rows per panel, 20 at 60 days), the growth proxy is missing for one isolate, and five of 72 treated flasks in the six-laboratory deposit carry no usable starting density. Dropped rows are compared with retained ones on starting density and susceptibility to test whether the exclusions are plausibly ignorable (Table S18).</w:t>
      </w:r>
    </w:p>
    <w:p>
      <w:r>
        <w:rPr>
          <w:b/>
        </w:rPr>
        <w:t>Decomposition of a crossing time.</w:t>
      </w:r>
      <w:r>
        <w:t xml:space="preserve"> Over an interval where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splits a difference in crossing time into a distance term and a rate term. An </w:t>
      </w:r>
      <w:r>
        <w:rPr>
          <w:b/>
        </w:rPr>
        <w:t>inversion</w:t>
      </w:r>
      <w:r>
        <w:t xml:space="preserve"> is a pair in which A fell faster yet crossed later, occurring exactly when </w:t>
      </w:r>
      <w:r>
        <w:rPr>
          <w:i/>
        </w:rPr>
        <w:t>D_A</w:t>
      </w:r>
      <w:r>
        <w:t>/</w:t>
      </w:r>
      <w:r>
        <w:rPr>
          <w:i/>
        </w:rPr>
        <w:t>D_B</w:t>
      </w:r>
      <w:r>
        <w:t xml:space="preserve"> &gt; </w:t>
      </w:r>
      <w:r>
        <w:rPr>
          <w:i/>
        </w:rPr>
        <w:t>b_A</w:t>
      </w:r>
      <w:r>
        <w:t>/</w:t>
      </w:r>
      <w:r>
        <w:rPr>
          <w:i/>
        </w:rPr>
        <w:t>b_B</w:t>
      </w:r>
      <w:r>
        <w:t>.</w:t>
      </w:r>
    </w:p>
    <w:p>
      <w:r>
        <w:rPr>
          <w:b/>
        </w:rPr>
        <w:t>Multiplicity.</w:t>
      </w:r>
      <w:r>
        <w:t xml:space="preserve"> Where a question admits more than one test, every test the deposit supports is run, and the family is corrected by the Benjamini–Hochberg procedure (45) at a false discovery rate of 5 per cent.</w:t>
      </w:r>
    </w:p>
    <w:p>
      <w:r>
        <w:t>Four procedures are implemented in the released analysis code rather than taken from a package — the Brant test, the partial-proportional-odds fit, the product-of-coefficients mediation, and the residual-correlation sensitivity — in `exp30_ordinal_tolerance.py` and `exp34_mediation.py`; the partial-proportional-odds likelihood is validated against the proportional-odds fit it nests, agreeing to 1.0 × 10⁻¹⁰ in log-likelihood.</w:t>
      </w:r>
    </w:p>
    <w:p>
      <w:r>
        <w:t>Analyses used Python 3.14 with numpy 2.5.0 (46), scipy 1.18.0 (47), pandas 3.0.3 (48), statsmodels 0.15.0 (49) and lifelines 0.30.3 (50).</w:t>
      </w:r>
    </w:p>
    <w:p>
      <w:pPr>
        <w:spacing w:before="240"/>
      </w:pPr>
      <w:r>
        <w:rPr>
          <w:b/>
          <w:sz w:val="22"/>
        </w:rPr>
        <w:t>Reproducibility</w:t>
      </w:r>
    </w:p>
    <w:p>
      <w:r>
        <w:t>Every number in this paper is regenerated by a script that writes a machine-readable receipt, and an audit script recomputes 174 quantities quoted in the text from the tables they came from. A second audit checks that every number in the Abstract, Box 1, and every table and figure legend traces to a results file or receipt, that no numeric literal carries two incompatible statistical labels (a hazard ratio quoted where another table calls the same figure a p-value, for example), and that no cross-reference or sample-size count is stale. Neither audit pins every cell of every table.</w:t>
      </w:r>
    </w:p>
    <w:p>
      <w:pPr>
        <w:spacing w:before="240"/>
      </w:pPr>
      <w:r>
        <w:rPr>
          <w:b/>
          <w:sz w:val="22"/>
        </w:rPr>
        <w:t>Ethics</w:t>
      </w:r>
    </w:p>
    <w:p>
      <w:r>
        <w:t xml:space="preserve">This study analysed publicly available, de-identified datasets, and generated one time-kill experiment in a reference strain of </w:t>
      </w:r>
      <w:r>
        <w:rPr>
          <w:i/>
        </w:rPr>
        <w:t>Escherichia coli</w:t>
      </w:r>
      <w:r>
        <w:t>. No human or animal subjects were involved, no patient samples were collected, and no individual is identifiable from any material presented here.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Declaration of generative AI and AI-assisted technologies in the manuscript preparation process</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analysed here was already public under an open licence. Each is identified in Table 3 and cited alongside the article that first described it: Vijay and colleagues (21, 51), van Wijk and colleagues (12, 13), Windels and colleagues (23, 24), Kaur and colleagues (25, 26), and the hollow-fibre Source Data of Dubey and colleagues (14, 15), held out of every fitting step. The readings from the prospective experiment are deposited with the analysis code.</w:t>
      </w:r>
    </w:p>
    <w:p>
      <w:r>
        <w:t>That code, both audit scripts, the headroom tool and machine-readable receipts recording the software versions each stage ran under are in a public repository (52),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04f1ddb+ of it.</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8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Cochran WG. 1950. Estimation of bacterial densities by means of the "most probable number". Biometrics 6:105. https://doi.org/10.2307/3001491.</w:t>
      </w:r>
    </w:p>
    <w:p>
      <w:r>
        <w:t>6. Blodgett R. 2023. BAM appendix 2: most probable number from serial dilutions. Bacteriological analytical manual. US Food and Drug Administration, Silver Spring, MD. https://www.fda.gov/food/laboratory-methods-food/bam-appendix-2-most-probable-number-serial-dilutions.</w:t>
      </w:r>
    </w:p>
    <w:p>
      <w:r>
        <w:t>7.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8. Mukamolova GV, Turapov O, Malkin J, Woltmann G, Barer MR. 2010. Resuscitation-promoting factors reveal an occult population of tubercle bacilli in sputum. Am J Respir Crit Care Med 181:174-180. https://doi.org/10.1164/rccm.200905-0661OC.</w:t>
      </w:r>
    </w:p>
    <w:p>
      <w:r>
        <w:t>9.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10.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11. Mann HB, Whitney DR. 1947. On a test of whether one of two random variables is stochastically larger than the other. Ann Math Stat 18:50-60. https://doi.org/10.1214/aoms/1177730491.</w:t>
      </w:r>
    </w:p>
    <w:p>
      <w:r>
        <w:t xml:space="preserve">12.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13.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14.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16. National Committee for Clinical Laboratory Standards. 1999. Methods for determining bactericidal activity of antimicrobial agents; approved guideline. NCCLS document M26-A. National Committee for Clinical Laboratory Standards, Wayne, PA. ISBN 1-56238-384-1.</w:t>
      </w:r>
    </w:p>
    <w:p>
      <w:r>
        <w:t>17. Vilchèze C, Jacobs WR Jr. 2007. The mechanism of isoniazid killing: clarity through the scope of genetics. Annu Rev Microbiol 61:35-50. https://doi.org/10.1146/annurev.micro.61.111606.122346.</w:t>
      </w:r>
    </w:p>
    <w:p>
      <w:r>
        <w:t>18. Campbell EA, Korzheva N, Mustaev A, Murakami K, Nair S, Goldfarb A, Darst SA. 2001. Structural mechanism for rifampicin inhibition of bacterial RNA polymerase. Cell 104:901-912. https://doi.org/10.1016/S0092-8674(01)00286-0.</w:t>
      </w:r>
    </w:p>
    <w:p>
      <w:r>
        <w:t xml:space="preserve">19.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20. ASTM International. 2023. E2315-23: Standard Guide for Assessment of Antimicrobial Activity Using a Time-Kill Procedure. ASTM International, West Conshohocken, PA. https://doi.org/10.1520/E2315-23.</w:t>
      </w:r>
    </w:p>
    <w:p>
      <w:r>
        <w:t xml:space="preserve">21.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22.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23. Windels EM, Cool L, Persy E, Swinnen J, Matthay P, Van den Bergh B, Wenseleers T, Michiels J. 2024. Antibiotic dose and nutrient availability differentially drive the evolution of antibiotic resistance and persistence. ISME J 18:wrae070. https://doi.org/10.1093/ismejo/wrae070.</w:t>
      </w:r>
    </w:p>
    <w:p>
      <w:r>
        <w:t>24.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 xml:space="preserve">25. Kaur P, Ramya VK, Naveenkumar CN, Bharathkumar K, Singh M, Hobbie SN, Shandil RK, Narayanan S. 2024. Apramycin kills replicating and non-replicating </w:t>
      </w:r>
      <w:r>
        <w:rPr>
          <w:i/>
        </w:rPr>
        <w:t>Mycobacterium tuberculosis</w:t>
      </w:r>
      <w:r>
        <w:t>. Front Trop Dis 5:1413211. https://doi.org/10.3389/fitd.2024.1413211.</w:t>
      </w:r>
    </w:p>
    <w:p>
      <w:r>
        <w:t xml:space="preserve">26. Kaur P. 2024. Apramycin kills replicating and non-replicating </w:t>
      </w:r>
      <w:r>
        <w:rPr>
          <w:i/>
        </w:rPr>
        <w:t>Mycobacterium tuberculosis</w:t>
      </w:r>
      <w:r>
        <w:t xml:space="preserve"> — raw data. figshare. https://doi.org/10.6084/m9.figshare.26462791.v1.</w:t>
      </w:r>
    </w:p>
    <w:p>
      <w:r>
        <w:t>27. Clinical and Laboratory Standards Institute. 2024. Methods for dilution antimicrobial susceptibility tests for bacteria that grow aerobically, 12th ed. CLSI standard M07. Clinical and Laboratory Standards Institute, Wayne, PA.</w:t>
      </w:r>
    </w:p>
    <w:p>
      <w:r>
        <w:t>28. Clinical and Laboratory Standards Institute. 2026. Performance standards for antimicrobial susceptibility testing, 36th ed. CLSI supplement M100. Clinical and Laboratory Standards Institute, Wayne, PA.</w:t>
      </w:r>
    </w:p>
    <w:p>
      <w:r>
        <w:t>29. Tobin J. 1958. Estimation of relationships for limited dependent variables. Econometrica 26:24. https://doi.org/10.2307/1907382.</w:t>
      </w:r>
    </w:p>
    <w:p>
      <w:r>
        <w:t>30. Beal SL. 2001. Ways to fit a PK model with some data below the quantification limit. J Pharmacokinet Pharmacodyn 28:481-504. https://doi.org/10.1023/A:1012299115260.</w:t>
      </w:r>
    </w:p>
    <w:p>
      <w:r>
        <w:t>31. Rubin DB. 1987. Multiple imputation for nonresponse in surveys. John Wiley &amp; Sons, New York, NY. https://doi.org/10.1002/9780470316696.</w:t>
      </w:r>
    </w:p>
    <w:p>
      <w:r>
        <w:t>32. McCullagh P. 1980. Regression models for ordinal data. J R Stat Soc Series B Stat Methodol 42:109-127. https://doi.org/10.1111/j.2517-6161.1980.tb01109.x.</w:t>
      </w:r>
    </w:p>
    <w:p>
      <w:r>
        <w:t>33. Brant R. 1990. Assessing proportionality in the proportional odds model for ordinal logistic regression. Biometrics 46:1171-1178.</w:t>
      </w:r>
    </w:p>
    <w:p>
      <w:r>
        <w:t>34. Peterson B, Harrell FE Jr. 1990. Partial proportional odds models for ordinal response variables. J R Stat Soc Ser C Appl Stat 39:205. https://doi.org/10.2307/2347760.</w:t>
      </w:r>
    </w:p>
    <w:p>
      <w:r>
        <w:t>35. Turnbull BW. 1976. The empirical distribution function with arbitrarily grouped, censored and truncated data. J R Stat Soc Series B Stat Methodol 38:290-295. https://doi.org/10.1111/j.2517-6161.1976.tb01597.x.</w:t>
      </w:r>
    </w:p>
    <w:p>
      <w:r>
        <w:t>36. Kaplan EL, Meier P. 1958. Nonparametric estimation from incomplete observations. J Am Stat Assoc 53:457-481. https://doi.org/10.1080/01621459.1958.10501452.</w:t>
      </w:r>
    </w:p>
    <w:p>
      <w:r>
        <w:t>37. Cox DR. 1972. Regression models and life-tables. J R Stat Soc Series B Stat Methodol 34:187-202. https://doi.org/10.1111/j.2517-6161.1972.tb00899.x.</w:t>
      </w:r>
    </w:p>
    <w:p>
      <w:r>
        <w:t>38. Field CA, Welsh AH. 2007. Bootstrapping clustered data. J R Stat Soc Series B Stat Methodol 69:369-390. https://doi.org/10.1111/j.1467-9868.2007.00593.x.</w:t>
      </w:r>
    </w:p>
    <w:p>
      <w:r>
        <w:t>39. Schoenfeld D. 1982. Partial residuals for the proportional hazards regression model. Biometrika 69:239-241. https://doi.org/10.1093/biomet/69.1.239.</w:t>
      </w:r>
    </w:p>
    <w:p>
      <w:r>
        <w:t>40. Grambsch PM, Therneau TM. 1994. Proportional hazards tests and diagnostics based on weighted residuals. Biometrika 81:515-526. https://doi.org/10.1093/biomet/81.3.515.</w:t>
      </w:r>
    </w:p>
    <w:p>
      <w:r>
        <w:t>41. Efron B. 1979. Bootstrap methods: another look at the jackknife. Ann Stat 7:1-26. https://doi.org/10.1214/aos/1176344552.</w:t>
      </w:r>
    </w:p>
    <w:p>
      <w:r>
        <w:t>42. Brown LD, Cai TT, DasGupta A. 2001. Interval estimation for a binomial proportion. Stat Sci 16:101-133. https://doi.org/10.1214/ss/1009213286.</w:t>
      </w:r>
    </w:p>
    <w:p>
      <w:r>
        <w:t>43. Imai K, Keele L, Yamamoto T. 2010. Identification, inference and sensitivity analysis for causal mediation effects. Stat Sci 25:51-71. https://doi.org/10.1214/10-STS321.</w:t>
      </w:r>
    </w:p>
    <w:p>
      <w:r>
        <w:t>44. Baron RM, Kenny DA. 1986. The moderator-mediator variable distinction in social psychological research: conceptual, strategic, and statistical considerations. J Pers Soc Psychol 51:1173-1182. https://doi.org/10.1037/0022-3514.51.6.1173.</w:t>
      </w:r>
    </w:p>
    <w:p>
      <w:r>
        <w:t>45. Benjamini Y, Hochberg Y. 1995. Controlling the false discovery rate: a practical and powerful approach to multiple testing. J R Stat Soc Series B Stat Methodol 57:289-300. https://doi.org/10.1111/j.2517-6161.1995.tb02031.x.</w:t>
      </w:r>
    </w:p>
    <w:p>
      <w:r>
        <w:t>46.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47.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48. McKinney W. 2010. Data structures for statistical computing in Python. Proceedings of the 9th Python in Science Conference 56-61. https://doi.org/10.25080/Majora-92bf1922-00a.</w:t>
      </w:r>
    </w:p>
    <w:p>
      <w:r>
        <w:t>49. Seabold S, Perktold J. 2010. Statsmodels: econometric and statistical modeling with Python. Proceedings of the 9th Python in Science Conference 92-96. https://doi.org/10.25080/Majora-92bf1922-011.</w:t>
      </w:r>
    </w:p>
    <w:p>
      <w:r>
        <w:t>50. Davidson-Pilon C. 2019. lifelines: survival analysis in Python. J Open Source Softw 4:1317. https://doi.org/10.21105/joss.01317.</w:t>
      </w:r>
    </w:p>
    <w:p>
      <w:r>
        <w:t xml:space="preserve">51.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52. Piranfar V. 2026. Analysis code, audit scripts and headroom tool for "The detection floor bounds tolerance endpoints in Mycobacterium tuberculosis".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