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Whether starting density explains isoniazid-resistant isolates' disproportionate exposure as a confounder or a mediator is unresolved here.</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compounds are ranked by in vitro killing curves, counts of surviving colonies read off a plate over time.</w:t>
      </w:r>
    </w:p>
    <w:p>
      <w:r>
        <w:t xml:space="preserve">A negative culture taken after treatment has begun is not evidence of sterility, which is why blood cultures are drawn before the first dose. The plate also has a hard floor, and the pipette sets it: the smallest positive result is one colony, and what one colony means depends on the volume spread. Plate 100 µL and one colony is 10 bacteria per mL. Below that the plate reports no growth, which is not the same as nothing there. Write </w:t>
      </w:r>
      <w:r>
        <w:rPr>
          <w:i/>
        </w:rPr>
        <w:t>L</w:t>
      </w:r>
      <w:r>
        <w:t xml:space="preserve"> for that floor and </w:t>
      </w:r>
      <w:r>
        <w:rPr>
          <w:i/>
        </w:rPr>
        <w:t>N₀</w:t>
      </w:r>
      <w:r>
        <w:t xml:space="preserve"> for the starting density.</w:t>
      </w:r>
    </w:p>
    <w:p>
      <w:r>
        <w:t>Tuberculosis makes that floor expensive, because the phenotype invoked to explain why treatment takes so long is itself defined by a duration. Tolerance is the capacity of a genetically susceptible population to survive an exposure that should kill it: the drug still works, the bacteria take a long time to die, and that time is the measurement.</w:t>
      </w:r>
    </w:p>
    <w:p>
      <w:r>
        <w:t xml:space="preserve">Rather than asking whether a culture went negative, the modern definition asks how many logs the population fell: the minimum duration for killing, MDK, is the time to a specified fractional reduction (90, 99 or 99.99 per cent), proposed as the tolerance counterpart to the minimum inhibitory concentration (2, 3). The fraction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w:t>
      </w:r>
    </w:p>
    <w:p>
      <w:r>
        <w:t>MDK as originally defined is not a plate-count metric: it was measured from presence or absence of survivors in microwell arrays of about a hundred cells, a design chosen to avoid dilution plating, and the consensus guidelines say how the smallest detectable count should be established (3, 4). What this paper examines is the form the tuberculosis field adopted, log-reduction endpoints computed from plate counts and most-probable-number series. The floor problem belongs to that implementation, not to the definition.</w:t>
      </w:r>
    </w:p>
    <w:p>
      <w:r>
        <w:t>The property holds in the definition and fails in the measurement, and that gap is what this paper is about. To show a four-log kill you have to see four logs down,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The drug has dropped out of it; what is left is the pipette and the inoculum. A metric designed to be inoculum-independent becomes a pure inoculum readout at exactly the depth where tolerance is scored. That is the second boundary, identifiability.</w:t>
      </w:r>
    </w:p>
    <w:p>
      <w:r>
        <w:t xml:space="preserve">Inoculum-dependent tolerance measurements have been reported before under a different mechanism: an </w:t>
      </w:r>
      <w:r>
        <w:rPr>
          <w:i/>
        </w:rPr>
        <w:t>Escherichia coli</w:t>
      </w:r>
      <w:r>
        <w:t xml:space="preserve"> persister assay gave different tolerant fractions depending on growth phase and culture history, attributed there to prophage induction rather than to an assay floor (5). That report and this one agree on the symptom and differ on the mechanism, and neither rules out the other operating in a given assay.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stay distinct from it: a duration ceiling (the assay stopped looking) is not a count floor, and recording a below-limit flag is not the same as scoring a duration from the points so recorded.</w:t>
      </w:r>
    </w:p>
    <w:p>
      <w:r>
        <w:t>This study asks how deep a log-reduction tolerance endpoint can be measured at all, and whether isolates have been assigned tolerance phenotypes from outside that range. Two boundaries on the starting density follow from the definitions, one deciding whether an endpoint is reachable and the other whether a floor-level reading identifies a class, both computed from quantities a time-kill protocol already records.</w:t>
      </w:r>
    </w:p>
    <w:p>
      <w:r>
        <w:t xml:space="preserve">That question needs data recording three quantities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is the first result, and it is why the five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(6, 7).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(6, 7),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Their starting densities span 265-fold, from 23,000 to 6.1 × 10⁶ per mL, so the same terminal reading implies a different range of compatible reductions in each: at least 3.00 logs for the isolate that began at 23,000, at least 5.42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(8)),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ran exactly that exercise, sending a single stock of H37Rv to six blinded laboratories under one written protocol (9, 10).</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report amoxicillin-clavulanate against </w:t>
      </w:r>
      <w:r>
        <w:rPr>
          <w:i/>
        </w:rPr>
        <w:t>Escherichia coli</w:t>
      </w:r>
      <w:r>
        <w:t xml:space="preserve"> in a hollow-fibre system (11, 12).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pPr>
        <w:spacing w:before="240"/>
      </w:pPr>
      <w:r>
        <w:rPr>
          <w:b/>
          <w:sz w:val="22"/>
        </w:rPr>
        <w:t>7. A second distortion in M. tuberculosis: bacilli invisible to culture, not just below the floor</w:t>
      </w:r>
    </w:p>
    <w:p>
      <w:r>
        <w:t>Everything above is about the floor. One published observation in this organism shows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(13).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growth in a dilution series requires an organism that is alive and culturable.</w:t>
      </w:r>
    </w:p>
    <w:p>
      <w:r>
        <w:t xml:space="preserve">That gap is not the detection floor.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resuscitation-promoting-factor-dependent bacilli dominate pre-treatment sputum and rise during chemotherapy (14), both dependent and independent differentially culturable populations are recovered from patients whose solid-medium cultures return nothing (15), and rifamycin action on ribonucleic acid (RNA) polymerase converts a starved population to over 90 per cent differentially detectable in vitro (16), the same drug class every arm of the Evangelopoulos regimen carries.</w:t>
      </w:r>
    </w:p>
    <w:p>
      <w:r>
        <w:t>Reachability and identifiability are arithmetic on the plated volume and would hold in an assay with perfect culturability. Differential culturability is biology, acts on the numerator rather than the floor, and nothing here derives or measures it.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reanalysed here;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M26-A's section 1.3.2.5, </w:t>
      </w:r>
      <w:r>
        <w:rPr>
          <w:i/>
        </w:rPr>
        <w:t>Volume Transferred</w:t>
      </w:r>
      <w:r>
        <w:t>, ties the volume to the endpoint with a counting rule: after the defined 99.9 per cent killing, at least ten colonies must remain (17)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because the endpoint moved: M26-A nowhere contemplates a four-log call, and the volume rule did not travel with the deeper endpoints.</w:t>
      </w:r>
    </w:p>
    <w:p>
      <w:r>
        <w:t>Take the assay's contribution out and what is left is consistent with biology. Growth state predicts the tolerance class before and after adjustment for starting density (isoniazid needs KatG and active cell-wall synthesis (18), rifampicin needs transcription (19)), and a population that is not dividing offers less of what these drugs act on. The classification tracks physiological state at least as much as drug susceptibility.</w:t>
      </w:r>
    </w:p>
    <w:p>
      <w:r>
        <w:t>That axis is the one tuberculosis drug development already leans on. Killing assays of this design rank regimens before they enter trials, and tolerance followed in patients is now being read as within-host evolution (20). A whole-host simulation of tuberculosis treatment reports the same sensitivity one step further downstream: which regimen ranks best in a granuloma model changes with the CFU detection threshold used to define success, independent of any question about tolerance classification (21).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a reader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The design is conservative in this respect rather than clean: the larger plated volume carries ten times more drug to the plate, so carryover would shrink the difference between the two platings that Section 8 reports, not manufacture it.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declaring it. Flasks from one laboratory share a starting culture; repeat isolates come from a patient already counted. Every conclusion from the two primary deposits was recomputed at the level where the observations are independent, listed one line at a time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rPr>
          <w:b/>
        </w:rPr>
        <w:t>Choose the depth of the endpoint to fit the headroom actually available, rather than densifying the inoculum merely to buy more.</w:t>
      </w:r>
      <w:r>
        <w:t xml:space="preserve"> The inoculum needed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Where the deep endpoint is wanted, lower the assay floor instead; where the headroom will not carry it either way, the shallower endpoint is the honest one.</w:t>
      </w:r>
    </w:p>
    <w:p>
      <w:r>
        <w:rPr>
          <w:b/>
        </w:rPr>
        <w:t>Treat an endpoint at the floor as a bound, not a value.</w:t>
      </w:r>
      <w:r>
        <w:t xml:space="preserve"> Analysed as a measurement it manufactures differences between isolates whose final viable burdens the assay could not tell apart.</w:t>
      </w:r>
    </w:p>
    <w:p>
      <w:r>
        <w:rPr>
          <w:b/>
        </w:rPr>
        <w:t>Fix the inoculum, or adjust for it, before comparing tolerance across groups.</w:t>
      </w:r>
      <w:r>
        <w:t xml:space="preserve"> The comparison that motivated this work, resistant against susceptible isolates, is confounded by a ten-fold difference in starting density. Until that difference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and none of its reporting requirements is </w:t>
      </w:r>
      <w:r>
        <w:rPr>
          <w:i/>
        </w:rPr>
        <w:t>L</w:t>
      </w:r>
      <w:r>
        <w:t>, headroom or a censoring convention specific to a duration endpoint cut on a fraction of the starting count (22). The five fields above are additional to that guide,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The remedy adopted was to stop asking whether the culture went negative and to start asking how far it fell, expressed as a fraction of where it began so that the starting culture could not matter. The fraction stops being a fraction once the population reaches the floor. What is recorded from that point is </w:t>
      </w:r>
      <w:r>
        <w:rPr>
          <w:i/>
        </w:rPr>
        <w:t>L</w:t>
      </w:r>
      <w:r>
        <w:t>/</w:t>
      </w:r>
      <w:r>
        <w:rPr>
          <w:i/>
        </w:rPr>
        <w:t>N₀</w:t>
      </w:r>
      <w:r>
        <w:t>, which moves with the starting density and not with the surviving population: here for fifteen per cent of isolates at the depth the classification uses, and for the eighteen isolates whose recorded label a single threshold on their inoculum reproduces exactly.</w:t>
      </w:r>
    </w:p>
    <w:p>
      <w:r>
        <w:t>A tolerance call made without its headroom cannot be told apart from an inoculum measurement, and the phenotype associated with survival after correction tracks physiological state at least as much as drug susceptibility. That is not the same as saying tolerance is an artefact. Report the starting density and the assay floor. Match the depth of the endpoint to the range actually available. Treat a reading at the floor as a bound. Until those three things are routine,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carried enough information to compute both boundaries, and five carried the complete set of fields the full analysis requires (Table 3, Figure S4). The full pipeline is summarised in Figure S6. 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(23).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(9, 10).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(24).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(25, 26).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(27, 28).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(11, 12). It was the only deposit found carrying all three fields the boundaries require, and no boundary, threshold or modelling choice in this paper was informed by it; it is used nowhere else except to confirm them (Section 6).</w:t>
      </w:r>
    </w:p>
    <w:p>
      <w:r>
        <w:t>Each dataset's organism, drug, design and licence is summarised in Table 1;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(17, 29). The ciprofloxacin MIC, determined by CLSI reference broth microdilution (29, 30), was 0.008 mg/L, within the CLSI quality-control range for this strain (30);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 xml:space="preserve">₁) makes both failure modes impossible before an experiment runs. The class thresholds </w:t>
      </w:r>
      <w:r>
        <w:rPr>
          <w:i/>
        </w:rPr>
        <w:t>c</w:t>
      </w:r>
      <w:r>
        <w:t xml:space="preserve">₁, </w:t>
      </w:r>
      <w:r>
        <w:rPr>
          <w:i/>
        </w:rPr>
        <w:t>c</w:t>
      </w:r>
      <w:r>
        <w:t xml:space="preserve">₂ are an input to this definition, not an output of it: </w:t>
      </w:r>
      <w:r>
        <w:rPr>
          <w:i/>
        </w:rPr>
        <w:t>N</w:t>
      </w:r>
      <w:r>
        <w:t>_id only tests a classification independently of the data being classified when the thresholds come from somewhere other than that data. Where a deposit states its own thresholds, the test is independent; where they are recovered from the deposit itself, as in Results Section 2, the agreement that follows is an identity rather than a test, and the manuscript says so at the point it occurs.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(31); a censored reading contributes log Φ((limit − µ)/σ), the probability it fell below its own limit (Beal's M3 written for this assay (32)). As a computational consistency check, 50 imputed datasets were generated from the fitted truncated-normal distribution, analysed by ordinary least squares, and pooled using Rubin's rules (33);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(34), with starting density as a prespecified covariate; proportional odds was tested by a Brant test per predictor (35) and a likelihood-ratio test against a generalised ordered logit (36),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(44),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(45, 46),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(47)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(48), scipy 1.18.0 (49), pandas 3.0.3 (50), statsmodels 0.15.0 (51) and lifelines 0.30.3 (52).</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clinical isolates reanalysed in Section 1 through Section 5 were collected under the ethical approval reported by their depositors: the Institutional Research Board of Pham Ngoc Thach Hospital, the Ho Chi Minh City Health Services and the Oxford University Tropical Research Ethics Committee (OxTREC 030-07) (53); the isolates are deposited de-identified and CC BY 4.0 licensed for secondary analysis, and this manuscript performs no new sampling from any patient.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(23, 53), van Wijk and colleagues (9, 10), Windels and colleagues (25, 26), Kaur and colleagues (27, 28), and the hollow-fibre Source Data of Dubey and colleagues (11, 12),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(54),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dd8345f+ of it.</w:t>
      </w:r>
    </w:p>
    <w:p>
      <w:pPr>
        <w:spacing w:before="240"/>
      </w:pPr>
      <w:r>
        <w:rPr>
          <w:b/>
          <w:sz w:val="22"/>
        </w:rPr>
        <w:t>Declaration of computational 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(25)</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Harms A, Fino C, Sørensen MA, Semsey S, Gerdes K. 2017. Prophages and growth dynamics confound experimental results with antibiotic-tolerant persister cells. mBio 8:e01964-17. https://doi.org/10.1128/mBio.01964-17.</w:t>
      </w:r>
    </w:p>
    <w:p>
      <w:r>
        <w:t>6. Cochran WG. 1950. Estimation of bacterial densities by means of the "most probable number". Biometrics 6:105. https://doi.org/10.2307/3001491.</w:t>
      </w:r>
    </w:p>
    <w:p>
      <w:r>
        <w:t>7. Blodgett R. 2023. BAM appendix 2: most probable number from serial dilutions. Bacteriological analytical manual. US Food and Drug Administration, Silver Spring, MD. https://www.fda.gov/food/laboratory-methods-food/bam-appendix-2-most-probable-number-serial-dilutions.</w:t>
      </w:r>
    </w:p>
    <w:p>
      <w:r>
        <w:t>8. Mann HB, Whitney DR. 1947. On a test of whether one of two random variables is stochastically larger than the other. Ann Math Stat 18:50-60. https://doi.org/10.1214/aoms/1177730491.</w:t>
      </w:r>
    </w:p>
    <w:p>
      <w:r>
        <w:t xml:space="preserve">9.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10.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11.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12.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13.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14. Mukamolova GV, Turapov O, Malkin J, Woltmann G, Barer MR. 2010. Resuscitation-promoting factors reveal an occult population of tubercle bacilli in sputum. Am J Respir Crit Care Med 181:174-180. https://doi.org/10.1164/rccm.200905-0661OC.</w:t>
      </w:r>
    </w:p>
    <w:p>
      <w:r>
        <w:t>15.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16.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17. National Committee for Clinical Laboratory Standards. 1999. Methods for determining bactericidal activity of antimicrobial agents; approved guideline. NCCLS document M26-A. National Committee for Clinical Laboratory Standards, Wayne, PA. ISBN 1-56238-384-1.</w:t>
      </w:r>
    </w:p>
    <w:p>
      <w:r>
        <w:t>18. Vilchèze C, Jacobs WR Jr. 2007. The mechanism of isoniazid killing: clarity through the scope of genetics. Annu Rev Microbiol 61:35-50. https://doi.org/10.1146/annurev.micro.61.111606.122346.</w:t>
      </w:r>
    </w:p>
    <w:p>
      <w:r>
        <w:t>19. Campbell EA, Korzheva N, Mustaev A, Murakami K, Nair S, Goldfarb A, Darst SA. 2001. Structural mechanism for rifampicin inhibition of bacterial RNA polymerase. Cell 104:901-912. https://doi.org/10.1016/S0092-8674(01)00286-0.</w:t>
      </w:r>
    </w:p>
    <w:p>
      <w:r>
        <w:t xml:space="preserve">20.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21. Michael CT, Budak M, Maiello P, Kracinovsky K, Rodgers M, Tomko J, Lin PL, Flynn J, Linderman JJ, Kirschner D. 2025. Rankings of tuberculosis antibiotic treatment regimens are sensitive to spatial scale, detection limit, and initial host bacterial burden. J Theor Biol. https://doi.org/10.1016/j.jtbi.2025.112176.</w:t>
      </w:r>
    </w:p>
    <w:p>
      <w:r>
        <w:t>22. ASTM International. 2023. E2315-23: Standard Guide for Assessment of Antimicrobial Activity Using a Time-Kill Procedure. ASTM International, West Conshohocken, PA. https://doi.org/10.1520/E2315-23.</w:t>
      </w:r>
    </w:p>
    <w:p>
      <w:r>
        <w:t xml:space="preserve">23.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25. Windels EM, Cool L, Persy E, Swinnen J, Matthay P, Van den Bergh B, Wenseleers T, Michiels J. 2024. Antibiotic dose and nutrient availability differentially drive the evolution of antibiotic resistance and persistence. ISME J 18:wrae070. https://doi.org/10.1093/ismejo/wrae070.</w:t>
      </w:r>
    </w:p>
    <w:p>
      <w:r>
        <w:t>26.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27.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28. Kaur P. 2024. Apramycin kills replicating and non-replicating </w:t>
      </w:r>
      <w:r>
        <w:rPr>
          <w:i/>
        </w:rPr>
        <w:t>Mycobacterium tuberculosis</w:t>
      </w:r>
      <w:r>
        <w:t xml:space="preserve"> — raw data. figshare. https://doi.org/10.6084/m9.figshare.26462791.v1.</w:t>
      </w:r>
    </w:p>
    <w:p>
      <w:r>
        <w:t>29. Clinical and Laboratory Standards Institute. 2024. Methods for dilution antimicrobial susceptibility tests for bacteria that grow aerobically, 12th ed. CLSI standard M07. Clinical and Laboratory Standards Institute, Wayne, PA.</w:t>
      </w:r>
    </w:p>
    <w:p>
      <w:r>
        <w:t>30. Clinical and Laboratory Standards Institute. 2026. Performance standards for antimicrobial susceptibility testing, 36th ed. CLSI supplement M100. Clinical and Laboratory Standards Institute, Wayne, PA.</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Imai K, Keele L, Yamamoto T. 2010. Identification, inference and sensitivity analysis for causal mediation effects. Stat Sci 25:51-71. https://doi.org/10.1214/10-STS321.</w:t>
      </w:r>
    </w:p>
    <w:p>
      <w:r>
        <w:t>46. Baron RM, Kenny DA. 1986. The moderator-mediator variable distinction in social psychological research: conceptual, strategic, and statistical considerations. J Pers Soc Psychol 51:1173-1182. https://doi.org/10.1037/0022-3514.51.6.1173.</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"Rifampicin tolerance classification is bounded by assay detection floor among clinical Mycobacterium tuberculosis isolates".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