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Study design and data sources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(12, 13). Moxifloxacin and isoniazid at one and ten times the minimum inhibitory concentration, three flasks per arm, each sample plated at four volumes — 100 µL quadruplicate, 10 µL as four drops, 10 µL as a single drop, and 2.5 µL as a single drop —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(14, 15). It was the only deposit found carrying all three fields the boundaries require, and no boundary, threshold or modelling choice in this paper was informed by it; it is used nowhere else in the paper except to confirm them (Section 7).</w:t>
      </w:r>
    </w:p>
    <w:p>
      <w:r>
        <w:t>Each dataset's organism, drug, design and licence is summarised in Table 1; the complete screening manifest and exclusion reasons accompany the analysis code.</w:t>
      </w:r>
    </w:p>
    <w:p>
      <w:pPr>
        <w:spacing w:before="240"/>
      </w:pPr>
      <w:r>
        <w:rPr>
          <w:b/>
          <w:sz w:val="22"/>
        </w:rPr>
        <w:t>Prospective experimental validation</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Assay floors and censoring</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S13).</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 it is the smallest value in the file, nothing lies below it in 1,932 readings, and the minimum shifts by exactly a factor of ten per culture age; the conclusions drawn from it hold across the full range the deposit's own MPN table admits (Table S14).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S15). Each below-limit flag in the six-laboratory deposit is judged against its own plated volume's floor rather than pooled to the least sensitive volume, since pooling would discard genuine quantified counts a more sensitive plating of the same sample recorded (Table S13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S16): the clinical deposit passes this rule at 0.40 log10 of support, and two of the five deposits fail it. This paper fits nothing to predict an MDK —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S12). The refusal holds across both well designs, both floor readings and two priors.</w:t>
      </w:r>
    </w:p>
    <w:p>
      <w:pPr>
        <w:spacing w:before="240"/>
      </w:pPr>
      <w:r>
        <w:rPr>
          <w:b/>
          <w:sz w:val="22"/>
        </w:rPr>
        <w:t>Reachability and identifiability boundaries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S17).</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S18).</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 the Brant test, the partial-proportional-odds fit, the product-of-coefficients mediation, and the residual-correlation sensitivity —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899a67d+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