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Their starting densities span 265-fold, from 23,000 to 6.1 × 10⁶ per mL, so the same terminal reading implies a different range of compatible reductions in each: at least 3.00 log reduction for the isolate that began at 23,000, at least 5.42 logs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because that is what the ratio is.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(7)),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(8, 9). It does.</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(2026) report amoxicillin-clavulanate against </w:t>
      </w:r>
      <w:r>
        <w:rPr>
          <w:i/>
        </w:rPr>
        <w:t>Escherichia coli</w:t>
      </w:r>
      <w:r>
        <w:t xml:space="preserve"> in a hollow-fibre system (10, 11).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7. A second distortion in M. tuberculosis: bacilli invisible to culture, not just below the floor</w:t>
      </w:r>
    </w:p>
    <w:p>
      <w:r>
        <w:t>Everything above is about the floor. One published observation in this organism shows that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(12).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xml:space="preserve"> with a literature of its own: resuscitation-promoting-factor-dependent bacilli dominate pre-treatment sputum and rise during chemotherapy (13), both dependent and independent differentially culturable populations are recovered from patients whose solid-medium cultures return nothing (14), and the mechanism has been reproduced experimentally, rifamycin action on ribonucleic acid (RNA) polymerase converting a starved population to over 90 per cent differentially detectable in vitro (15), the same drug class every arm of the Evangelopoulos regimen carries.</w:t>
      </w:r>
    </w:p>
    <w:p>
      <w:r>
        <w:t>Reachability and identifiability are arithmetic on the plated volume; they would hold in an assay with perfect culturability. Differential culturability is biology, acts on the numerator rather than the floor, and nothing here derives or measures it. Neither depends on the other, and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deposits reanalysed in this paper;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not manufacture it. But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so where the deep endpoint is wanted, lower the assay floor instead;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(8, 9).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(10, 11). It was the only deposit found carrying all three fields the boundaries require, and no boundary, threshold or modelling choice in this paper was informed by it; it is used nowhere else in the paper except to confirm them (Section 6).</w:t>
      </w:r>
    </w:p>
    <w:p>
      <w:r>
        <w:t>Each dataset's organism, drug, design and licence is summarised in Table 1;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(8, 9), Windels and colleagues (23, 24), Kaur and colleagues (25, 26), and the hollow-fibre Source Data of Dubey and colleagues (10, 11),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6990c62+ of it.</w:t>
      </w:r>
    </w:p>
    <w:p>
      <w:pPr>
        <w:spacing w:before="240"/>
      </w:pPr>
      <w:r>
        <w:rPr>
          <w:b/>
          <w:sz w:val="22"/>
        </w:rPr>
        <w:t>Declaration of computational 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Mann HB, Whitney DR. 1947. On a test of whether one of two random variables is stochastically larger than the other. Ann Math Stat 18:50-60. https://doi.org/10.1214/aoms/1177730491.</w:t>
      </w:r>
    </w:p>
    <w:p>
      <w:r>
        <w:t xml:space="preserve">8.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9.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10.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11.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12.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13. Mukamolova GV, Turapov O, Malkin J, Woltmann G, Barer MR. 2010. Resuscitation-promoting factors reveal an occult population of tubercle bacilli in sputum. Am J Respir Crit Care Med 181:174-180. https://doi.org/10.1164/rccm.200905-0661OC.</w:t>
      </w:r>
    </w:p>
    <w:p>
      <w:r>
        <w:t>14.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15.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