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(a count read off a dilution series rather than off colonies on a plate)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(recording them only as "below the floor", with the true value unknown)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(10 to 400 CFU/mL across the deposits reanalysed here)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w:t>
      </w:r>
    </w:p>
    <w:p>
      <w:r>
        <w:t>The failure is specific and bounded. In this deposit neither the 90 nor the 99 per cent endpoint is compromised: every isolate has room to show both. It is the 99.99 per cent endpoint, the deep endpoint the clinical classification uses, that a substantial minority cannot reach.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the six isolates sitting on </w:t>
      </w:r>
      <w:r>
        <w:rPr>
          <w:i/>
        </w:rPr>
        <w:t>N</w:t>
      </w:r>
      <w:r>
        <w:t>_id itself, where the strict inequality leaves the class undecidable,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w:t>
      </w:r>
      <w:r>
        <w:rPr>
          <w:i/>
        </w:rPr>
        <w:t>N</w:t>
      </w:r>
      <w:r>
        <w:t xml:space="preserve">_reach and </w:t>
      </w:r>
      <w:r>
        <w:rPr>
          <w:i/>
        </w:rPr>
        <w:t>N</w:t>
      </w:r>
      <w:r>
        <w:t>_id were therefore used to design an experiment against themselves, predictions written down before a plate was counted. At the inoculum the standard specifies the four-log endpoint was unreportable at the 10 µL plating and comfortable at 100 µL, same flask, same afternoon,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an explanation after the fact.</w:t>
      </w:r>
    </w:p>
    <w:p>
      <w:r>
        <w:t>That is also where the counts feeding regimen selection are taken. A model published as a preprint while this paper was in preparation predicts relapse in the murine model across nine datasets, 58 regimens and 2,239 relapse observations, reaching an area under the receiver operating characteristic curve of 0.90 on its final external validation (17). Its eight predictors include the fall in lung CFU from baseline at days 14 and 28, the fall in the ribosomal RNA synthesis ratio at day 14, the presence of an oxazolidinone, and four experimental covariates; removing either biomarker costs performance. The authors show the loss from dropping the RS ratio can be recovered by adding model-estimated coefficients for the sterilising contribution of each drug, a substitution they license only for compounds already characterised, expressly not for the novel ones the model exists to rank.</w:t>
      </w:r>
    </w:p>
    <w:p>
      <w:r>
        <w:t xml:space="preserve">Their explanation for that gap is physiological, and it is why they built the RS ratio: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and this is not a lapse peculiar to it, since the field's own consensus guideline raises neither.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fair, and it is answered by separating two endpoints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ranges over different sets of readings, twelve at the 100 µL plating against fifty-six across every laboratory and volume,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a range over the four laboratories that deposit an untreated day-zero reading at the 100 µL plating, and resampling whole laboratories runs from 0.05 to 2.33 log10, bounding that term from below and not from both sides; it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one per patient by construction,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Why they seed lower is not known. The natural explanation, that resistance carries a fitness cost, is not supported here, since these isolates do not grow measurably more slowly and most carry the near-neutral </w:t>
      </w:r>
      <w:r>
        <w:rPr>
          <w:i/>
        </w:rPr>
        <w:t>katG</w:t>
      </w:r>
      <w:r>
        <w:t xml:space="preserve"> S315X allele (18, 19). That gap is a finding in its own right and belongs in the next study rather than a speculative sentence in this one. Nor is it explained away by anything else the file records: of its nine pretreatment covariates only two can legitimately be adjusted for, and neither moves the association by more than five per cent (Section 4). The two larger movements in that table both come from columns that record the exposure rather than a confounder: the mutation identity,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(3.0 to 72.4 per cent), so what the deposit establishes is the mechanism and not the rate.</w:t>
      </w:r>
    </w:p>
    <w:p>
      <w:r>
        <w:t>We agree with van Wijk and colleagues wherever the two analyses overlap. They noticed the spread in starting densities themselves, and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a defensible way to report an assay, but one that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groups being compared. The link to resistance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between laboratories is six, not the 67 to 85 flasks the tables list. Six is too few for a cluster-robust standard error, and the correction does not fail loudly when fitted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none. Three laboratories recorded crossings at the 100 µL plating and three did not; with the six split three and three, the smallest two-sided p the arithmetic can return is 0.10, whatever the biology. Some quantities do let flasks be pooled across laboratories, the variance shares and the inversion rate under a flask bootstrap: those keep an exact permutation test, and are the strongest between-laboratory evidence the deposit holds.</w:t>
      </w:r>
    </w:p>
    <w:p>
      <w:r>
        <w:t>The laboratories did not all count their starting density on the same day. Only institutes C and D deposit a day-zero reading for the treated flasks; A, B, E and F deposit day one, by which point the ten-times-MIC arms have already lost between 0.7 and 2.4 log10. For four of the six laboratories, then, the number we are calling the exposure has some killing baked into it. Re-running the whole comparison on a day-one exposure for every laboratory left the ordering, the area under the curve and the laboratory-level p unchanged, so the conclusion is robust to it; the mismatch is real all the same, and is reported rather than smoothed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closer to swapping a label for a number carrying much the same information than to separating two covariates. Telling the two apart needs a design that fixes the inoculum across laboratories.</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a full-text search returns no occurrence of "limit of detection" or of either value. The number is not missing from the science; it is missing from the paper, and a reader who never opens the supplementary spreadsheet cannot know an endpoint was bounded. What we are asking for is one sentence in a methods section, and somebody has already done the work that sits behind it.</w:t>
      </w:r>
    </w:p>
    <w:p>
      <w:r>
        <w:t xml:space="preserve">The mirror image is a deposit whose modelling table carries a column named `CFU_LOD`, empty in all 272 rows (21); nor does a detection limit appear in any of the eight analysis scripts deposited beside it. Put the two cases together and the diagnosis is not carelessness. The assay floor </w:t>
      </w:r>
      <w:r>
        <w:rPr>
          <w:i/>
        </w:rPr>
        <w:t>L</w:t>
      </w:r>
      <w:r>
        <w:t xml:space="preserve"> is measured, sometimes to a standard higher than anyone asks for, and then falls out of the record between the bench and the reader: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M26-A protocol fixes turbidity, not the plated depth a laboratory can actually see</w:t>
      </w:r>
    </w:p>
    <w:p>
      <w:r>
        <w:t>The inoculum for a time-kill experiment is not a free choice. A suspension is matched to 0.5 McFarland and diluted, and NCCLS M26-A (approved guideline, 1999; the body is now CLSI, which has archived the document) puts the target near 5 × 10⁵ CFU/mL (8). If the protocol fixes the starting density, the variable the preceding sections rest on does not vary.</w:t>
      </w:r>
    </w:p>
    <w:p>
      <w:r>
        <w:t xml:space="preserve">Two things let counts settle this instead. First, a McFarland reading is a turbidity (22), and cloudiness counts live cells, dead cells, debris and a clump of cells all as one particle; converting it to CFU/mL assumes a cell size, shape and dispersal that </w:t>
      </w:r>
      <w:r>
        <w:rPr>
          <w:i/>
        </w:rPr>
        <w:t>M. tuberculosis</w:t>
      </w:r>
      <w:r>
        <w:t xml:space="preserve"> does not oblige, and tuberculosis protocols work from a range of dilutions and target inocula (23). Second, the standard fixes what goes into the flask, while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untreated, day zero, 100 µL, which is not the basis of Table S5.</w:t>
      </w:r>
    </w:p>
    <w:p>
      <w:r>
        <w:t>Read as headroom at a fixed plating volume, the spread is Δ</w:t>
      </w:r>
      <w:r>
        <w:rPr>
          <w:i/>
        </w:rPr>
        <w:t>h</w:t>
      </w:r>
      <w:r>
        <w:t xml:space="preserve"> = 2.33 log10, a 216-fold difference in how far down the assay can look, under one written protocol (Table S18): B at </w:t>
      </w:r>
      <w:r>
        <w:rPr>
          <w:i/>
        </w:rPr>
        <w:t>h</w:t>
      </w:r>
      <w:r>
        <w:t xml:space="preserve"> = 2.67, C at 3.61, D at 3.65, F at 5.00, each sitting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the upper limit being the observed range by construction.</w:t>
      </w:r>
    </w:p>
    <w:p>
      <w:r>
        <w:t>The stronger version of the argument does not depend on that roster at all. Let the plated volume vary too and the spread widens to Δ</w:t>
      </w:r>
      <w:r>
        <w:rPr>
          <w:i/>
        </w:rPr>
        <w:t>h</w:t>
      </w:r>
      <w:r>
        <w:t xml:space="preserve"> = 4.40 log10, of which 1.60 log10 is exact arithmetic on </w:t>
      </w:r>
      <w:r>
        <w:rPr>
          <w:i/>
        </w:rPr>
        <w:t>L</w:t>
      </w:r>
      <w:r>
        <w:t xml:space="preserve"> = 1000/</w:t>
      </w:r>
      <w:r>
        <w:rPr>
          <w:i/>
        </w:rPr>
        <w:t>V</w:t>
      </w:r>
      <w:r>
        <w:t>, carrying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but the untreated culture itself grows to 6.72 over the same twenty-four hours. A second deposit (15, 16) gives the same result against its own stated figure rather than a standard: its Methods specify 10⁵ CFU/mL and its file measures 7 × 10⁵ to 2.8 × 10⁶, a median of 1.215 × 10⁶ and so 12.15-fold above nominal, computed from the unrounded median, which Table S18 displays rounded to 6.08 log10.</w:t>
      </w:r>
    </w:p>
    <w:p>
      <w:r>
        <w:t>Distance from the McFarland reference is descriptive and reported as such (Table S19); sitting far below it is the intended state, since the inoculum is prepared by diluting from it, not a measure of protocol compliance. What sets the deepest log-kill an experiment can show is the measured starting density and the real assay floor, not the turbidity the preparation began from.</w:t>
      </w:r>
    </w:p>
    <w:p>
      <w:pPr>
        <w:spacing w:before="240"/>
      </w:pPr>
      <w:r>
        <w:rPr>
          <w:b/>
          <w:sz w:val="22"/>
        </w:rPr>
        <w:t>Text S2. A slower-killing culture can still cross the assay floor first, inverting the apparent ranking</w:t>
      </w:r>
    </w:p>
    <w:p>
      <w:r>
        <w:t xml:space="preserve">Take two flasks in the same treatment arm from different laboratories. Across 191 such pairs (45 further pairs the censoring could not settle are excluded rather than imputed), </w:t>
      </w:r>
      <w:r>
        <w:rPr>
          <w:b/>
        </w:rPr>
        <w:t>66 pairs (34.6 per cent) are inversions</w:t>
      </w:r>
      <w:r>
        <w:t xml:space="preserve">: the flask in which the population fell faster crossed below the assay floor later (Table S20). Restrict to pairs whose rates differ by more than 0.10 log10 per day, so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97.6 per cent of the 65.4 per cent that are not inversions, against 59.1 per cent of the inversions themselves. The decomposition identifies the mechanism, a pair inverts when the distance ratio exceeds the rate ratio, without predicting which pairs invert much better than three times in five; the residual is what a single averaged slope through a two-phase kill curve cannot capture, a known limitation of </w:t>
      </w:r>
      <w:r>
        <w:rPr>
          <w:i/>
        </w:rPr>
        <w:t>b</w:t>
      </w:r>
      <w:r>
        <w:t xml:space="preserve"> stated in the Methods.</w:t>
      </w:r>
    </w:p>
    <w:p>
      <w:r>
        <w:t>The effect holds when the faster flask is required to be unambiguously faster: raising the minimum separation between the two fitted rates from 0.02 to 0.05 to 0.10 log10 per day moves the inversion rate from 33.7 to 29.4 to 23.0 per cent.</w:t>
      </w:r>
    </w:p>
    <w:p>
      <w:r>
        <w:t>Those point estimates are firm; their precision is not. The 191 pairs are built from 42 flasks in six laboratories, not independent coin flips. Resampling whole flasks within laboratory puts the 34.6 per cent between 22.3 and 48.7 per cent; resampling whole laboratories, the level at which the comparison is actually made, puts it between 3.0 and 71.3 per cent. Under the strictest rate separation the corresponding intervals are 9.4 to 42.9 per cent and 0 to 79.4 per cent. What the deposit supports is that inversions are common and are explained by the decomposition, not any particular rate.</w:t>
      </w:r>
    </w:p>
    <w:p>
      <w:r>
        <w:t xml:space="preserve">The variance decomposition sets the size of the effect and bounds the claim. Of the variation available to move a crossing time, the distance term carries 35.2 per cent at ten times moxifloxacin, 32.3 per cent at ten times isoniazid and 17.7 per cent at one times isoniazid, with the rate term carrying the rest. </w:t>
      </w:r>
      <w:r>
        <w:rPr>
          <w:b/>
        </w:rPr>
        <w:t>That ordering is not established, and we do not claim it.</w:t>
      </w:r>
      <w:r>
        <w:t xml:space="preserve"> The flasks are three to a laboratory and share a starting culture, so this is a between-laboratory statistic with six clusters wearing flasks as a disguise: deleting one laboratory pushes the distance share above a half in two of the three arms (70.4 per cent at ten times isoniazid, 62.3 per cent at ten times moxifloxacin), and a bootstrap over whole laboratories straddles a half in all three (Table S20). What survives is the weaker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returns a positive fitted rate, so there is no spread in the rate to divide (Table S20). The inoculum contributes a sizeable minority of the variance in crossing time, enough to flip which of two flasks fell faster in more than a third of the laboratory comparisons here, the practical stake for anyone choosing between compounds on this evidence.</w:t>
      </w:r>
    </w:p>
    <w:p>
      <w:pPr>
        <w:spacing w:before="240"/>
      </w:pPr>
      <w:r>
        <w:rPr>
          <w:b/>
          <w:sz w:val="22"/>
        </w:rPr>
        <w:t>Text S3. In two further deposits, reading the plate late or pooling across nutrient groups hides the drug-response relationship</w:t>
      </w:r>
    </w:p>
    <w:p>
      <w:r>
        <w:t>The framework that defines these two measures takes it as given that they are separate (Brauner et al. 2016 (24)). Two secondary deposits bound how far from separate the two could be, without proving they are separate, which is weaker and more honest than a proof would be.</w:t>
      </w:r>
    </w:p>
    <w:p>
      <w:r>
        <w:t xml:space="preserve">Apramycin against </w:t>
      </w:r>
      <w:r>
        <w:rPr>
          <w:i/>
        </w:rPr>
        <w:t>M. tuberculosis</w:t>
      </w:r>
      <w:r>
        <w:t xml:space="preserve"> (12, 13) shows what reading a plate too late can do to a dose-response. Tested at 4 to 128 µg/mL (the 1 µg/mL arm grows rather than dies and is excluded), the survivor counts spread out 6.9-fold at day 3, 48.2-fold at day 7, and only 5.2-fold at day 14 (Fig. S3, Table S21): the spread opens, then closes again, and a 14-day readout would report this drug as nearly insensitive to a 32-fold change in dose. Each interval is fitted on its own, resampling all three replicate counts with replacement at both ends of every interval, 20,000 draws. Each doubling of the dose adds +0.059 log10 per day to the kill rate over days 0-3 (95 per cent percentile interval +0.033 to +0.083), +0.033 over days 3-7 (+0.008 to +0.059), and −0.025 over days 7-14 (−0.035 to −0.015): concentration-dependence is positive early (early against late, +0.084, +0.055 to +0.111), smaller and not significant in the middle (early against middle, +0.026, −0.011 to +0.062), and reversed late. By day 14 the highest arm is down to 65 CFU/mL, the deposit states no limit of quantification and no plated volume, so the late slope cannot be distinguished from a lower bound on a censored reading; what holds whatever the floor turns out to be is that the separation between doses collapses.</w:t>
      </w:r>
    </w:p>
    <w:p>
      <w:r>
        <w:t xml:space="preserve">The 217-isolate clinical file, tested the other way, supports 24 comparisons of how much drug it takes to stop growth against how long it takes to kill, all corrected together (Benjamini-Hochberg against 24, Table S22). Four are significant before correction, where 1.2 are expected by chance, and none survives it; all four point the wrong way (a higher inhibitory concentration goes with a </w:t>
      </w:r>
      <w:r>
        <w:rPr>
          <w:i/>
        </w:rPr>
        <w:t>shorter</w:t>
      </w:r>
      <w:r>
        <w:t xml:space="preserve"> killing time) and cluster at the deepest endpoint, the one Section 1 shows is compromised. Across all 24 tests the weakest correlation this design could have detected runs 0.14 to 0.25 depending on the subgroup; the six strongest, listed in Table S22, span 0.14 to 0.18. Restricted to baseline isolates alone, the deepest 15-day endpoint gives ρ = −0.21, p = 0.0086, short of the family threshold of 0.0021 by a wide margin, and short of 0.0083 by three and a half per cent even judged as its own family of six. A parallel test in 126 evolved </w:t>
      </w:r>
      <w:r>
        <w:rPr>
          <w:i/>
        </w:rPr>
        <w:t>E. coli</w:t>
      </w:r>
      <w:r>
        <w:t xml:space="preserve"> clones sharing one ancestor (14, 25) returns ρ = +0.043, p = 0.63, against the 0.175 this sample size could have detected; independence holds inside every nutrient group separately, which matters because the concentration written on the flask is not the same exposure in every group (at 25 µg/mL, 0.55 to 9.47 times the inhibitory concentration that population had evolved to, Table S23). Neither deposit shows the two axes are independent. Both show they are not positively coupled, which is what they can support.</w:t>
      </w:r>
    </w:p>
    <w:p>
      <w:pPr>
        <w:spacing w:before="240"/>
      </w:pPr>
      <w:r>
        <w:rPr>
          <w:b/>
          <w:sz w:val="22"/>
        </w:rPr>
        <w:t>Extended results for article section 1: Rifampicin tolerance in 217 clinical isolates is scored against an unreported assay floor</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places 95 per cent support on 9.2 to 23 per mL, a span of 0.40 log10, narrow enough that the class labels of Section 2 are computed rather than refused (Table S15). Where a deposit gives no such evidence, the labels are refused instead of reported.</w:t>
      </w:r>
    </w:p>
    <w:p>
      <w:r>
        <w:t xml:space="preserve">The deposit carries a second classification, scored at day 2, on a different floor. The day-2 column bottoms out at 230 per mL, with eighteen readings resting there: </w:t>
      </w:r>
      <w:r>
        <w:rPr>
          <w:i/>
        </w:rPr>
        <w:t>L</w:t>
      </w:r>
      <w:r>
        <w:t xml:space="preserve"> = 230, ten times the day-5 floor, a coincidence of this deposit rather than one number written into two places, since the two columns share no reading. Cuts at 10⁻² and 10⁻¹, one decade shallower than at day 5, reproduce all 203 usable day-2 classes. The identifiability boundary does not move (</w:t>
      </w:r>
      <w:r>
        <w:rPr>
          <w:i/>
        </w:rPr>
        <w:t>N</w:t>
      </w:r>
      <w:r>
        <w:t>_id = 230/10⁻² = 23,000 per mL, matching day 5), but the reachability boundary does, by a full decade: 121 of 203 isolates lack the room for a four-log reduction against the day-2 floor, against 31 against the day-5 floor. At 60 days no pair of decade cuts reproduces the day-2 classes.</w:t>
      </w:r>
    </w:p>
    <w:p>
      <w:r>
        <w:t>Every log10 here is computed from the raw MPN rungs against a floor of 23 per mL and rounded once, at the end, so the deepest headroom displays as 6.42 rather than as the 6.43 that 7.79 minus 1.36 returns; the fold figures quoted throughout are likewise ten raised to the unrounded difference.</w:t>
      </w:r>
    </w:p>
    <w:p>
      <w:r>
        <w:t>Two of those 33 carry a fourth label the deposit writes literally as "MDR" (conventionally multidrug-resistant), unordered with respect to the other three, so no ordered analysis can place it (Table S3); over the 203 isolates with an ordered label the count is 31.</w:t>
      </w:r>
    </w:p>
    <w:p>
      <w:r>
        <w:t>No p-value is attached to that contrast: an isolate with less than four logs of headroom cannot record a four-log reduction, so the 0-of-33 cell is fixed by arithmetic and the null of independence between ceiling status and headroom is false before any data are seen. The census is the finding: every isolate that could not reach the endpoint is recorded as not having reached it, and 88.0 per cent of those that could are recorded the same way. The deepest endpoint is the only one at risk, and it is the one the tolerance classification is built on.</w:t>
      </w:r>
    </w:p>
    <w:p>
      <w:pPr>
        <w:spacing w:before="240"/>
      </w:pPr>
      <w:r>
        <w:rPr>
          <w:b/>
          <w:sz w:val="22"/>
        </w:rPr>
        <w:t>Extended results for article section 2: The same floor-level reading yields opposite tolerance labels depending on starting density</w:t>
      </w:r>
    </w:p>
    <w:p>
      <w:r>
        <w:rPr>
          <w:i/>
        </w:rPr>
        <w:t>Material held back from the article for length. It is reported here rather than dropped, because each paragraph answers a question a reader of that section may reasonably ask.</w:t>
      </w:r>
    </w:p>
    <w:p>
      <w:r>
        <w:t xml:space="preserve">The question this raises is which labels the rule could have returned, not whether those labels are wrong. Sweeping the true count across the censored interval [0, </w:t>
      </w:r>
      <w:r>
        <w:rPr>
          <w:i/>
        </w:rPr>
        <w:t>L</w:t>
      </w:r>
      <w:r>
        <w:t>] and applying the deposited thresholds gives the set of classes compatible with each observation. For the twelve isolates that began at 230,000 per mL or above, every count the assay admits yields a fraction below 10⁻³, so low is the only compatible class. For the six that began at 23,000, the compatible set spans the low-medium threshold and the rule cannot choose between two classes.</w:t>
      </w:r>
    </w:p>
    <w:p>
      <w:r>
        <w:t>Three questions have to be kept apart, and the rest of this paper keeps them apart. Whether a culture reaches the floor at all is a question about the drug: rifampicin has to reduce the population by that isolate's entire headroom for it to happen. Which label the rule assigns once the reading is censored is a question about arithmetic: there the starting density determines the compatible set. How far the population actually fell is a question the assay leaves open.</w:t>
      </w:r>
    </w:p>
    <w:p>
      <w:r>
        <w:t>So for twelve of the eighteen the recorded label carries no information beyond the fact that the reading was censored, and for six it is not determinate at all. None of the eighteen is a measurement of the surviving fraction. Sorting every call in the panel this way separates the labels the assay measured from the labels the censoring rule fixed (Table 2): at 15 days, 185 of 203 calls rest on a reading above the floor and are measured, 12 are censored with a single compatible class, 6 with more than one. At 60 days the counts are 191, 6 and none, because the cultures are denser and few readings reach the floor.</w:t>
      </w:r>
    </w:p>
    <w:p>
      <w:r>
        <w:t>The shortfall falls unevenly on the groups a study would compare. The 99.99 per cent endpoint is unreachable for 22 of 84 isoniazid-resistant isolates, 26.2 per cent, against 9 of 119 susceptible ones, 7.6 per cent (Fisher exact p = 0.00056 (26)); the remaining two of the 33 carry the MDR label and fall outside that contrast. Median headroom differs by a full log, 4 against 5. A comparison of tolerance between those groups is therefore in part a comparison of how well each group could be measured.</w:t>
      </w:r>
    </w:p>
    <w:p>
      <w:pPr>
        <w:spacing w:before="240"/>
      </w:pPr>
      <w:r>
        <w:rPr>
          <w:b/>
          <w:sz w:val="22"/>
        </w:rPr>
        <w:t>Extended results for article section 3: The floor predicts, before rifampicin is added, which isolates will be mislabeled</w:t>
      </w:r>
    </w:p>
    <w:p>
      <w:r>
        <w:rPr>
          <w:i/>
        </w:rPr>
        <w:t>Material held back from the article for length. It is reported here rather than dropped, because each paragraph answers a question a reader of that section may reasonably ask.</w:t>
      </w:r>
    </w:p>
    <w:p>
      <w:r>
        <w:t xml:space="preserve">That agreement is an identity rather than a passed test. Once the label is a cut on the recorded fraction (Table S2)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How finely the agreement resolves has to be stated too. Among the eighteen the starting density takes only five values: 23,000 for six isolates, then 230,000 for eight, and 610,000, 2.3 × 10⁶ and 6.1 × 10⁶ for one, one and two, and </w:t>
      </w:r>
      <w:r>
        <w:rPr>
          <w:b/>
        </w:rPr>
        <w:t>no isolate lies strictly between *N*_id and *N*_reach</w:t>
      </w:r>
      <w:r>
        <w:t>. Any cut placed anywhere in that decade reproduces the same twelve-six split, so the split locates the boundary only to within an order of magnitude.</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S14); a posterior over class gives the same answer probabilistically, with the twelve keeping their label at posterior probability at least 0.999 and the six refused outright (Table S11).</w:t>
      </w:r>
    </w:p>
    <w:p>
      <w:pPr>
        <w:spacing w:before="240"/>
      </w:pPr>
      <w:r>
        <w:rPr>
          <w:b/>
          <w:sz w:val="22"/>
        </w:rPr>
        <w:t>Extended results for article section 4: Isoniazid-resistant isolates appear more rifampicin-tolerant, but the effect tracks a thinner inoculum, not resistance</w:t>
      </w:r>
    </w:p>
    <w:p>
      <w:r>
        <w:rPr>
          <w:i/>
        </w:rPr>
        <w:t>Material held back from the article for length. It is reported here rather than dropped, because each paragraph answers a question a reader of that section may reasonably ask.</w:t>
      </w:r>
    </w:p>
    <w:p>
      <w:r>
        <w:t>The label has three levels in a fixed order, low, medium, high, and is modelled as such: proportional-odds ordinal logistic regression, which does not assume the step from low to medium equals the step from medium to high. That fit makes an assumption of its own, that a single odds ratio serves both cut points, and it was tested rather than assumed (Methods; Table S4).</w:t>
      </w:r>
    </w:p>
    <w:p>
      <w:r>
        <w:t>The unadjusted 2.32 is the total effect of resistance on the label; the adjusted 1.31 is the controlled direct effect with the inoculum held fixed, under an assumption this deposit cannot test on its own, that starting density sits on the causal path as a mediator rather than beside it as a confounder. The reverse reading is equally available a priori: if slow growth both thins the inoculum and causes genuine tolerance, adjusting for starting density would remove real signal rather than a confounder (Discussion weighs the two readings against each other). What is not in question, whichever reading is right, is that the association weakens once starting density enters the model.</w:t>
      </w:r>
    </w:p>
    <w:p>
      <w:r>
        <w:t>The total effect of resistance on tolerance class splits into a part that runs through log10 starting density and a part that does not. On the 203 isolates with a usable class, the mediated part is +0.166 classes (bootstrap 95 per cent CI +0.067 to +0.279), the direct part +0.091 (−0.116 to +0.287). About 65 per cent of the association travels through the inoculum; the direct path covers zero. Restricting to baseline isolates leaves the mediated path intact (+0.159, +0.053 to +0.295), and collapsing the outcome to two levels agrees (Table S24).</w:t>
      </w:r>
    </w:p>
    <w:p>
      <w:r>
        <w:t xml:space="preserve">Two things bound that estimate. It rests on sequential ignorability, that nothing unmeasured drives both the starting density and the class,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since it says how much of the association is carried by the label's own denominator, but it is a reason not to read it as a mechanism. Only a design that fixes the inoculum separates the two.</w:t>
      </w:r>
    </w:p>
    <w:p>
      <w:r>
        <w:t xml:space="preserve">That objection can be tested, not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w:t>
      </w:r>
    </w:p>
    <w:p>
      <w:r>
        <w:t>These 217 isolates are not 217 independent observations. Forty-three are follow-up isolates taken during treatment from patients who also gave a baseline isolate, so up to 86 rows sit in clusters of two. The deposit carries no patient identifier: Archive and Sample-ID are unique to each row, and none of the 48 columns repeats the way a patient key would have to, so the pairing cannot be recovered and no standard error can be clustered on the true grouping. What is available is the exact substitute, a baseline-only stratum in which every isolate is from a different patient by construction (Time_point = 0M, n = 167 at 15 days).</w:t>
      </w:r>
    </w:p>
    <w:p>
      <w:r>
        <w:t xml:space="preserve">Why resistant isolates seed lower is not established here, and the obvious explanation fails: they do not grow measurably more slowly (median time to OD 0.4 of 19 against 17, p = 0.24), and 85 of them carry </w:t>
      </w:r>
      <w:r>
        <w:rPr>
          <w:i/>
        </w:rPr>
        <w:t>katG</w:t>
      </w:r>
      <w:r>
        <w:t xml:space="preserve"> S315X, the mutation that predominates clinically precisely because it is close to fitness-neutral (18, 19). Seven of the nine pretreatment covariates the file carries cannot adjust this association, and they fail in two different ways. Five are recorded almost only for resistant isolates, so their missingness </w:t>
      </w:r>
      <w:r>
        <w:rPr>
          <w:i/>
        </w:rPr>
        <w:t>is</w:t>
      </w:r>
      <w:r>
        <w:t xml:space="preserve"> the exposure: the two susceptibility calls are present for 82 of 84 resistant isolates and none of the 119 susceptible, the two Mykrobe calls for 76 and none, the mutation identity for 79 and one. Adjusting for such a column adjusts for resistance itself, which is why the two susceptibility rows agree to three significant figures: they are missing on exactly the same rows. The mutation identity's apparent 22 per cent attenuation is an artefact of that same circularity, not a real effect. The two Mykrobe columns hold a single value wherever they are recorded in this stratum, so no adjusted coefficient exists for them and Table S25 prints none.</w:t>
      </w:r>
    </w:p>
    <w:p>
      <w:r>
        <w:t>The other two, the isoniazid and rifampicin MICs, are missing in the opposite direction: recorded for all 119 susceptible isolates and 67 of 84 resistant ones, so what is absent sits inside the exposed group rather than across the contrast. That does not make them confounders. The isoniazid MIC separates the two groups completely in this deposit, no resistant isolate overlaps any susceptible one, so it is the exposure measured on a graded scale rather than something to adjust the exposure for: the standard error on the resistance coefficient inflates from 0.103 to 0.181, the complete case drops 17 resistant isolates and no susceptible one, leaving 186 rows against 203, and with it in the model the seeding gap grows from −0.85 to −0.96, an amplification of 13 per cent rather than an attenuation. The rifampicin MIC, which does not separate the groups, moves it by less than half a per cent.</w:t>
      </w:r>
    </w:p>
    <w:p>
      <w:r>
        <w:t>The remaining two covariates, the growth proxy and months on treatment, are missing at rates unrelated to susceptibility and can be used: adjusting for either leaves the coefficient at −0.81 or −0.82 against an unadjusted −0.85, an attenuation of at most five per cent (Table S25). The seeding gap is robust to every covariate the deposit permits testing against; the file records no referring site and no processing batch, so those cannot be tested at all. The association between resistance and a low starting inoculum is real, large and unexplained.</w:t>
      </w:r>
    </w:p>
    <w:p>
      <w:r>
        <w:t>The two surviving associations sit in the 15-day panel, where the mechanism places them. By 60 days the cultures are 38-fold denser, the spread of starting densities has more than halved (interquartile range 1.00 to 0.42 log10), and the fraction of isolates short of headroom falls from 15.2 to 3.3 per cent. The confound is a property of a thin assay, and it thins out when the assay is not. The two panels are columns on the same spreadsheet rows (210 isolates appear in both), so every comparison between them is within-isolate: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OR 0.493 for clearing medium (0.336 to 0.724, p = 0.0003) against 0.951 for clearing low (0.647 to 1.396, p = 0.80). A multinomial fit, assuming no ordering at all, agrees (high against low, relative risk ratio 0.59, p = 0.028; medium against low, 1.22, p = 0.39). In the denser panel the starting density no longer decides who is called low. It still decides who can be called high.</w:t>
      </w:r>
    </w:p>
    <w:p>
      <w:pPr>
        <w:spacing w:before="240"/>
      </w:pPr>
      <w:r>
        <w:rPr>
          <w:b/>
          <w:sz w:val="22"/>
        </w:rPr>
        <w:t>Extended results for article section 5: Six laboratories given one M. tuberculosis protocol still see six different assay floors</w:t>
      </w:r>
    </w:p>
    <w:p>
      <w:r>
        <w:rPr>
          <w:i/>
        </w:rPr>
        <w:t>Material held back from the article for length. It is reported here rather than dropped, because each paragraph answers a question a reader of that section may reasonably ask.</w:t>
      </w:r>
    </w:p>
    <w:p>
      <w:r>
        <w:t>The starting densities in Table S5 are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by which point the ten-times-MIC arms have already lost between 0.7 and 2.4 log10. A day-zero comparison across all six is therefore not available; re-running the whole analysis on a day-one exposure for every laboratory leaves the ordering, the area under the curve and the laboratory-level exact test unchanged.</w:t>
      </w:r>
    </w:p>
    <w:p>
      <w:r>
        <w:t>Across all 30 laboratory-by-arm cells the Tobit estimate and the imputation estimate never differ by more than 0.006 log10 per day, which says the fit is not an artefact of the arithmetic used to reach it, not that the sub-floor assumption is safe: both estimators assume the same normal distribution below the floor, and nothing here can check that from the inside.</w:t>
      </w:r>
    </w:p>
    <w:p>
      <w:r>
        <w:t xml:space="preserve">The duration endpoint behaves differently on the same flasks. What it records is not clearance and not sterilisation but a </w:t>
      </w:r>
      <w:r>
        <w:rPr>
          <w:b/>
        </w:rPr>
        <w:t>first observed crossing below the assay floor</w:t>
      </w:r>
      <w:r>
        <w:t>, and the distinction matters: most series that cross later read above the floor again, including all five untreated series that cross. The plating volume decides the count. At the 100 µL quadruplicate plating, the most sensitive of the four, 29 of 72 treated flasks ever fall below the floor: institutes B and C record crossings in every arm, institute A in three of its four, institutes D, E and F in none (Fig. S1A). For half the laboratories the first-crossing time is right-censored throughout: the flask never crossed, so all that is known is that the crossing, if it comes, comes after the last visit.</w:t>
      </w:r>
    </w:p>
    <w:p>
      <w:r>
        <w:t>That split is a property of the plating, not the laboratories. Counting a crossing on any of the four platings gives 48 of the same 72 treated flasks, and every laboratory records at least one: D six of its twelve, E one, F ten. The analysis keeps the single most sensitive plating so the endpoint means the same thing everywhere, and reports here what the other choice would have shown.</w:t>
      </w:r>
    </w:p>
    <w:p>
      <w:r>
        <w:t>Starting density separates the flasks that ever crossed from those that never did with an area under the curve of 0.974, a description quoted without a p-value on purpose: the comparison looks like 67 flasks, but it is three laboratories against three, and the between-laboratory evidence in this deposit is six clusters throughout (Limitations). The exact laboratory-level test returns 0.10,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the tested covariate is constant within cluster, and with six laboratories and six parameters the cluster-robust covariance is singular by construction, fitting it anyway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wrong in an unpredictable direction, not conservative. For the laboratory contrasts the flask-clustered interval is quoted instead, since the laboratory bootstrap keeps each laboratory's flasks together and the contrast barely moves. The crossings behind each laboratory's coefficient: 43 of 48 series in institute C against 1 of 48 in institute E.</w:t>
      </w:r>
    </w:p>
    <w:p>
      <w:r>
        <w:t>Killing here is not sustained. Take the 64 treated series carrying at least three quantified readings at the most sensitive plating volume: in 48 the final step is not a decline, and 44 end more than one log10 above their own lowest reading, median rebound 2.17 log10, largest 5.54. Seventeen of the 32 flasks that fell below the floor at the most sensitive plating (29 treated, 3 untreated) were detectable again at a later visit, 14 of them in treated arms.</w:t>
      </w:r>
    </w:p>
    <w:p>
      <w:r>
        <w:t>Across all four platings, 84 of the 140 series that cross return above the floor, 60 per cent, and the return is quick: a median of four days, with 45 per cent of those back within three. Those 360 series come from 90 flasks, four platings each, so they are not 360 independent observations; counted by flask, 53 of the 90 contain a crossing series (48 treated, 5 untreated), and 42 of those contain a returning one. A crossing below the assay floor in this deposit is usually a transient rather than an endpoint.</w:t>
      </w:r>
    </w:p>
    <w:p>
      <w:r>
        <w:t>Killing itself is real and dose-dependent: at one times the inhibitory concentration five of six laboratories record net growth under moxifloxacin, between −0.047 and −0.214 log10 per day; at ten times all six record net decline.</w:t>
      </w:r>
    </w:p>
    <w:p>
      <w:r>
        <w:t>Two consequences follow. First, the state below the floor is not absorbing: a series that drops below it does not stay there. Of 2,232 visit-to-visit transitions, 144 go from above to below and 95 go from below to above, so a series sitting below the floor leaves it at the next visit with probability 0.22, and that probability runs with drug pressure: 1.00 in untreated series, 0.37 to 0.92 at one times MIC, 0.07 to 0.18 at ten times, which says the event is at least partly a property of the plate. Of the 360 series, only 56, 15.6 per cent, show the shape a survival model assumes, one crossing that holds (Table S26); 220 never cross at all, 65 cross and return, 19 oscillate more than once.</w:t>
      </w:r>
    </w:p>
    <w:p>
      <w:r>
        <w:t>Second, the crossing time is never observed: it lies between the last visit above the floor and the first visit below it, and the naive treatment pins it to the later end, which biases every duration late by construction. Fitted as interval-censored data (29)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cannot show this: fitted on the half-open interval the data actually give, the Turnbull curve agrees with the naive Kaplan-Meier at every visit, to floating-point precision, because the crossing intervals are the visit gaps themselves. What the pinning costs is everything between visits, which is where the parametric fit puts the shortening. A duration read off the naive curve is too long, by about a day at the depths that matter.</w:t>
      </w:r>
    </w:p>
    <w:p>
      <w:r>
        <w:t>What the adjustment establishes: a continuous measure of where the cultures began accounts for the laboratory term at least as well as the laboratory label does, and one institute resists even that. What can be tested, since flasks are exchangeable across laboratories under the null, is how much of each quantity the laboratory owns: 87.0 per cent of the variance in starting density (permutation p &lt; 0.0002), 36.8 per cent of the within-arm kill rate (p = 0.0018), and the duration endpoint outright, since three laboratories produce none at all.</w:t>
      </w:r>
    </w:p>
    <w:p>
      <w:pPr>
        <w:spacing w:before="240"/>
      </w:pPr>
      <w:r>
        <w:rPr>
          <w:b/>
          <w:sz w:val="22"/>
        </w:rPr>
        <w:t>Extended results for article section 6: The two boundaries hold in a deposit never used to derive them, in a different organism and drug</w:t>
      </w:r>
    </w:p>
    <w:p>
      <w:r>
        <w:rPr>
          <w:i/>
        </w:rPr>
        <w:t>Material held back from the article for length. It is reported here rather than dropped, because each paragraph answers a question a reader of that section may reasonably ask.</w:t>
      </w:r>
    </w:p>
    <w:p>
      <w:r>
        <w:t xml:space="preserve">Every section so far tests the framework on the deposits it was built from, all </w:t>
      </w:r>
      <w:r>
        <w:rPr>
          <w:i/>
        </w:rPr>
        <w:t>Mycobacterium tuberculosis</w:t>
      </w:r>
      <w:r>
        <w:t>. Of the 45 deposits whose series could be read in full, 18 permit reachability and identifiability to be computed once the floor is established on the tiers this paper uses for its own: stated by the depositor, derived from a recorded plated volume, or inferred from a pile-up of counts on a plate-plausible value. Across those, the condition the boundaries imply, that no series may present as a measurement a reduction deeper than its own floor allows, holds in 2,210 of 2,210 series. Ten of the eighteen name their organism, six distinct species; the other eight do not, and are described in the data release rather than here. One is the held-out deposit below, fetched independently under a second identifier, so this corpus-wide check and the cold test are not two confirmations.</w:t>
      </w:r>
    </w:p>
    <w:p>
      <w:r>
        <w:t xml:space="preserve">Only one deposit was opened after every boundary and threshold was fixed. That it is </w:t>
      </w:r>
      <w:r>
        <w:rPr>
          <w:i/>
        </w:rPr>
        <w:t>E. coli</w:t>
      </w:r>
      <w:r>
        <w:t xml:space="preserve"> in a hollow-fibre system rather than </w:t>
      </w:r>
      <w:r>
        <w:rPr>
          <w:i/>
        </w:rPr>
        <w:t>M. tuberculosis</w:t>
      </w:r>
      <w:r>
        <w:t xml:space="preserve"> in a flask makes it a harder test, not a softer one: a rule fitted to tuberculosis time-kill data could be expected to fit more of it; what it has no right to survive is a different organism, drug class and apparatus. The boundaries are derived from definitions, so they predict they will.</w:t>
      </w:r>
    </w:p>
    <w:p>
      <w:pPr>
        <w:spacing w:before="240"/>
      </w:pPr>
      <w:r>
        <w:rPr>
          <w:b/>
          <w:sz w:val="22"/>
        </w:rPr>
        <w:t>Extended results for article section 8: A prospective E. coli experiment confirms the floor artifact: one culture, two plated volumes, two conflicting labels</w:t>
      </w:r>
    </w:p>
    <w:p>
      <w:r>
        <w:rPr>
          <w:i/>
        </w:rPr>
        <w:t>Material held back from the article for length. It is reported here rather than dropped, because each paragraph answers a question a reader of that section may reasonably ask.</w:t>
      </w:r>
    </w:p>
    <w:p>
      <w:r>
        <w:t xml:space="preserve">It is </w:t>
      </w:r>
      <w:r>
        <w:rPr>
          <w:i/>
        </w:rPr>
        <w:t>Escherichia coli</w:t>
      </w:r>
      <w:r>
        <w:t xml:space="preserve"> and not </w:t>
      </w:r>
      <w:r>
        <w:rPr>
          <w:i/>
        </w:rPr>
        <w:t>M. tuberculosis</w:t>
      </w:r>
      <w:r>
        <w:t xml:space="preserve"> by design, not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makes the floor reachable in every arm and the prediction falsifiable in a week rather than a year. ATCC 25922 is the quality-control reference strain the standard itself names, so the demonstration runs in the one organism whose assay geometry the standard defines.</w:t>
      </w:r>
    </w:p>
    <w:p>
      <w:r>
        <w:t xml:space="preserve">The gain the pipette buys should be exactly one log, because the floor at the pooled 100 µL plating is one tenth of the floor at the pooled 10 µL plating. The nine paired gains run 0.87 to 1.19 (Table S9). The difference is not the drug and not the flask: each plating measures its own starting density from the same culture, and the two measurements disagree, 425,000 against 565,000 per mL in one flask, 255,000 against 375,000 in another. That disagreement is this paper's own argument turned on its own experiment: </w:t>
      </w:r>
      <w:r>
        <w:rPr>
          <w:i/>
        </w:rPr>
        <w:t>N</w:t>
      </w:r>
      <w:r>
        <w:t>₀ is a measurement with error, and the headroom computed from it inherits that error. Reported per flask, the gain never falls below 0.87 log10, so the four-log endpoint moves from unreportable to reportable in every one of the three cultures at the standard inoculum.</w:t>
      </w:r>
    </w:p>
    <w:p>
      <w:r>
        <w:t>Read the experiment the way a laboratory would actually run it, with each plating series carrying the starting density it measured for itself, and the count is nine of 54 rather than six. The three extra are not the pipette: they are the two platings disagreeing about how much culture went in, differing by 0.74- to 1.53-fold across the nine flasks, median 1.12. Six is what the plated volume does on its own;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(B from 0.093 to 0.264, D from 0.015 to 0.138, E from 0.016 to 0.172 and F from 0.015 to 0.576),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appear here, rather than in Figure 2, because each requires its own disclaiming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 plating would give),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S10: the share of sample-times at which the two platings' recorded fractions fall on opposite sides of a class cut, as the cut moves; the marked line is the cut the clinical classification of Section 2 uses.</w:t>
      </w:r>
    </w:p>
    <w:p>
      <w:pPr>
        <w:spacing w:line="240" w:lineRule="auto"/>
        <w:jc w:val="center"/>
      </w:pPr>
      <w:r>
        <w:drawing>
          <wp:inline xmlns:a="http://schemas.openxmlformats.org/drawingml/2006/main" xmlns:pic="http://schemas.openxmlformats.org/drawingml/2006/picture">
            <wp:extent cx="5486400" cy="3733287"/>
            <wp:docPr id="6" name="Picture 6"/>
            <wp:cNvGraphicFramePr>
              <a:graphicFrameLocks noChangeAspect="1"/>
            </wp:cNvGraphicFramePr>
            <a:graphic>
              <a:graphicData uri="http://schemas.openxmlformats.org/drawingml/2006/picture">
                <pic:pic>
                  <pic:nvPicPr>
                    <pic:cNvPr id="0" name="figS6_methods_overview.png"/>
                    <pic:cNvPicPr/>
                  </pic:nvPicPr>
                  <pic:blipFill>
                    <a:blip r:embed="rId15"/>
                    <a:stretch>
                      <a:fillRect/>
                    </a:stretch>
                  </pic:blipFill>
                  <pic:spPr>
                    <a:xfrm>
                      <a:off x="0" y="0"/>
                      <a:ext cx="5486400" cy="3733287"/>
                    </a:xfrm>
                    <a:prstGeom prst="rect"/>
                  </pic:spPr>
                </pic:pic>
              </a:graphicData>
            </a:graphic>
          </wp:inline>
        </w:drawing>
      </w:r>
    </w:p>
    <w:p>
      <w:pPr>
        <w:spacing w:line="276" w:lineRule="auto" w:after="240"/>
      </w:pPr>
      <w:r>
        <w:rPr>
          <w:b/>
          <w:sz w:val="20"/>
        </w:rPr>
        <w:t>Figure S6. Overview of the Methods.</w:t>
      </w:r>
      <w:r>
        <w:rPr>
          <w:sz w:val="20"/>
        </w:rPr>
        <w:t xml:space="preserve"> The corpus screen that produced the five analysed deposits, the two boundaries derived from the assay's own definitions, and the prospective experiment that tests both forward. Deposit labels and every count are read from the same tables and reference list the Methods cite (Table 3, Table S1).</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S3.</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S17. The last rows of each block cover sets counted in units other than isolates or flasks -- pairs, flags, cells, readings -- because a reader meeting one of those figures in the text needs somewhere to look it up too.</w:t>
      </w:r>
    </w:p>
    <w:p>
      <w:r>
        <w:rPr>
          <w:b/>
        </w:rPr>
        <w:t>Table S4.</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4.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S6 records what each conclusion is worth once it is applied.</w:t>
      </w:r>
    </w:p>
    <w:p>
      <w:r>
        <w:rPr>
          <w:b/>
        </w:rPr>
        <w:t>Table S5.</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S18 instead use untreated day-zero readings only, so the two tables are not expected to match.</w:t>
      </w:r>
    </w:p>
    <w:p>
      <w:r>
        <w:rPr>
          <w:b/>
        </w:rPr>
        <w:t>Table S6.</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S7.</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S8.</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S9.</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S10.</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S11.</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S12.</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S13.</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S14.</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S15.</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S16.</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S17.</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S18.</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S19.</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S20.</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S21.</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S22.</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S23.</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S24.</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