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6 | </w:t>
      </w:r>
      <w:r>
        <w:rPr>
          <w:b/>
        </w:rPr>
        <w:t>Supplemental tables:</w:t>
      </w:r>
      <w:r>
        <w:t xml:space="preserve"> 26</w:t>
      </w:r>
    </w:p>
    <w:p>
      <w:pPr>
        <w:spacing w:before="240"/>
      </w:pPr>
      <w:r>
        <w:rPr>
          <w:b/>
          <w:sz w:val="24"/>
        </w:rPr>
        <w:t>Abstract</w:t>
      </w:r>
    </w:p>
    <w:p>
      <w:r>
        <w:t xml:space="preserve">Time-kill assays are the standard method for evaluating antibiotic tolerance, but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assay's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Both boundaries were then tested prospectively in </w:t>
      </w:r>
      <w:r>
        <w:rPr>
          <w:i/>
        </w:rPr>
        <w:t>Escherichia coli</w:t>
      </w:r>
      <w:r>
        <w:t>.</w:t>
      </w:r>
    </w:p>
    <w:p>
      <w:r>
        <w:t xml:space="preserve">The standard classification proved structurally compromised. Thirty-three of 217 isolates lacked the starting density needed to physically reach their assigned 99.99 percent reduction, and none of them did. Eighteen isolates ended the assay exactly at the detection floor; a third were compatible with more than one tolerance class, admitting no unique classification. These floor-level outcomes tracked growth rate, and isoniazid-resistant isolates, seeded at a tenfold lower starting density than susceptible ones, were disproportionately exposed to this artifact. The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Whether starting density explains isoniazid-resistant isolates' disproportionate exposure as a confounder or a mediator is unresolved here.</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compounds are ranked by in vitro killing curves, counts of surviving colonies read off a plate over time.</w:t>
      </w:r>
    </w:p>
    <w:p>
      <w:r>
        <w:t xml:space="preserve">A negative culture taken after treatment has begun is not evidence of sterility, which is why blood cultures are drawn before the first dose. The plate also has a hard floor, and the pipette sets it: the smallest positive result is one colony, and what one colony means depends on the volume spread. Plate 100 µL and one colony is 10 bacteria per mL. Below that the plate reports no growth, which is not the same as nothing there. Write </w:t>
      </w:r>
      <w:r>
        <w:rPr>
          <w:i/>
        </w:rPr>
        <w:t>L</w:t>
      </w:r>
      <w:r>
        <w:t xml:space="preserve"> for that floor and </w:t>
      </w:r>
      <w:r>
        <w:rPr>
          <w:i/>
        </w:rPr>
        <w:t>N₀</w:t>
      </w:r>
      <w:r>
        <w:t xml:space="preserve"> for the starting density.</w:t>
      </w:r>
    </w:p>
    <w:p>
      <w:r>
        <w:t>Tuberculosis makes that floor expensive, because the phenotype invoked to explain why treatment takes so long is itself defined by a duration. Tolerance is the capacity of a genetically susceptible population to survive an exposure that should kill it: the drug still works, the bacteria take a long time to die, and that time is the measurement.</w:t>
      </w:r>
    </w:p>
    <w:p>
      <w:r>
        <w:t xml:space="preserve">Rather than asking whether a culture went negative, the modern definition asks how many logs the population fell: the minimum duration for killing, MDK, is the time to a specified fractional reduction (90, 99 or 99.99 per cent), proposed as the tolerance counterpart to the minimum inhibitory concentration (2, 3). The fraction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w:t>
      </w:r>
    </w:p>
    <w:p>
      <w:r>
        <w:t>MDK as originally defined is not a plate-count metric: it was measured from presence or absence of survivors in microwell arrays of about a hundred cells, a design chosen to avoid dilution plating, and the consensus guidelines say how the smallest detectable count should be established (3, 4). What this paper examines is the form the tuberculosis field adopted, log-reduction endpoints computed from plate counts and most-probable-number series. The floor problem belongs to that implementation, not to the definition.</w:t>
      </w:r>
    </w:p>
    <w:p>
      <w:r>
        <w:t>The property holds in the definition and fails in the measurement, and that gap is what this paper is about. To show a four-log kill you have to see four logs down,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the floor divided by the starting density. The drug has dropped out of it; what is left is the pipette and the inoculum. A metric designed to be inoculum-independent becomes a pure inoculum readout at exactly the depth where tolerance is scored. That is the second boundary, identifiability.</w:t>
      </w:r>
    </w:p>
    <w:p>
      <w:r>
        <w:t xml:space="preserve">Inoculum-dependent tolerance measurements have been reported before under a different mechanism: an </w:t>
      </w:r>
      <w:r>
        <w:rPr>
          <w:i/>
        </w:rPr>
        <w:t>Escherichia coli</w:t>
      </w:r>
      <w:r>
        <w:t xml:space="preserve"> persister assay gave different tolerant fractions depending on growth phase and culture history, attributed there to prophage induction rather than to an assay floor (5). That report and this one agree on the symptom and differ on the mechanism, and neither rules out the other operating in a given assay.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stay distinct from it: a duration ceiling (the assay stopped looking) is not a count floor, and recording a below-limit flag is not the same as scoring a duration from the points so recorded.</w:t>
      </w:r>
    </w:p>
    <w:p>
      <w:r>
        <w:t>This study asks how deep a log-reduction tolerance endpoint can be measured at all, and whether isolates have been assigned tolerance phenotypes from outside that range. Two boundaries on the starting density follow from the definitions, one deciding whether an endpoint is reachable and the other whether a floor-level reading identifies a class, both computed from quantities a time-kill protocol already records.</w:t>
      </w:r>
    </w:p>
    <w:p>
      <w:r>
        <w:t xml:space="preserve">That question needs data recording three quantities (a starting density measured before treatment, a time series, and either a plated volume or a stated floor), and most do not. Of 78 candidate time-kill datasets assembled for this study, 45 were inspected in full; of the 40 distinct literature deposits among them, </w:t>
      </w:r>
      <w:r>
        <w:rPr>
          <w:b/>
        </w:rPr>
        <w:t>32 state no assay floor by any route</w:t>
      </w:r>
      <w:r>
        <w:t>. That is the first result, and it is why the five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one colony in a plated volume </w:t>
      </w:r>
      <w:r>
        <w:rPr>
          <w:i/>
        </w:rPr>
        <w:t>v</w:t>
      </w:r>
      <w:r>
        <w:t xml:space="preserve"> µL is </w:t>
      </w:r>
      <w:r>
        <w:rPr>
          <w:i/>
        </w:rPr>
        <w:t>L</w:t>
      </w:r>
      <w:r>
        <w:t xml:space="preserve"> = 1 000/</w:t>
      </w:r>
      <w:r>
        <w:rPr>
          <w:i/>
        </w:rPr>
        <w:t>v</w:t>
      </w:r>
      <w:r>
        <w:t xml:space="preserve"> per mL, and an MPN series uses the lowest table rung (6, 7).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Rifampicin tolerance in 217 clinical isolates is scored against an unreported assay floor</w:t>
      </w:r>
    </w:p>
    <w:p>
      <w:r>
        <w:t>Most-probable-number (MPN) readings take only the discrete values of an MPN table (6, 7),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Each isolate therefore carries a fixed budget of killing the assay can see. At 15 days of prior culture the starting densities run from 2,300 to 61,000,000 per mL (3.36 to 7.79 log10), so headroom, the distance from the starting density down to the floor, runs from 2.00 to 6.42 log10 (Fig. 1B, Table 1): both spans are the same 4.42 log10.</w:t>
      </w:r>
    </w:p>
    <w:p>
      <w:r>
        <w:t xml:space="preserve">Against that budget the three deposited endpoints behave very differently. Every isolate has room for a 90 or a 99 per cent reduction: 0 of 217 fall short in either case. </w:t>
      </w:r>
      <w:r>
        <w:rPr>
          <w:b/>
        </w:rPr>
        <w:t>Thirty-three of 217 isolates (15.2 per cent) lack the headroom for the 99.99 per cent endpoint</w:t>
      </w:r>
      <w:r>
        <w:t>, a four-log reduction that was unobservable for them before rifampicin was added.</w:t>
      </w:r>
    </w:p>
    <w:p>
      <w:r>
        <w:t xml:space="preserve">All 33 are recorded as not having reached the endpoint, sitting at the </w:t>
      </w:r>
      <w:r>
        <w:rPr>
          <w:b/>
        </w:rPr>
        <w:t>assay ceiling</w:t>
      </w:r>
      <w:r>
        <w:t>: a census rather than an estimate, since the floor censors the count while the ceiling censors time, an isolate not yet at its endpoint after six days being recorded at the last day rather than the day it would have reached. Among the 184 isolates that did have four logs of headroom, 162 are also at the ceiling, 88.0 per cent.</w:t>
      </w:r>
    </w:p>
    <w:p>
      <w:pPr>
        <w:spacing w:before="240"/>
      </w:pPr>
      <w:r>
        <w:rPr>
          <w:b/>
          <w:sz w:val="22"/>
        </w:rPr>
        <w:t>2. The same floor-level reading yields opposite tolerance labels depending on starting density</w:t>
      </w:r>
    </w:p>
    <w:p>
      <w:r>
        <w:t>The deposited tolerance level is a cut-off on the recorded surviving fraction, with no overlap between classes. The thresholds themselves are not deposited; recovered here, at day 5 and 15 days of prior culture, low tolerance covers fractions below 10⁻³, medium 10⁻³ to 10⁻², high above 10⁻². Those cuts reproduce every usable class in the file, 203 of 203 (Table S2). Usable means the 203 of 217 isolates whose label is one of the three ordered classes; the other 14 carry the "MDR" category, which no ordered analysis can place (Table S3).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Their starting densities span 265-fold, from 23,000 to 6.1 × 10⁶ per mL, so the same terminal reading implies a different range of compatible reductions in each: at least 3.00 logs for the isolate that began at 23,000, at least 5.42 for the one that began at 6.1 × 10⁶, and in either case the true reduction may be anything from that bound down to complete kill. What the deposit records instead is a single number per isolate, </w:t>
      </w:r>
      <w:r>
        <w:rPr>
          <w:i/>
        </w:rPr>
        <w:t>L</w:t>
      </w:r>
      <w:r>
        <w:t>/</w:t>
      </w:r>
      <w:r>
        <w:rPr>
          <w:i/>
        </w:rPr>
        <w:t>N₀</w:t>
      </w:r>
      <w:r>
        <w:t>, and those recorded fractions span the same 265-fold, from 3.8 × 10⁻⁶ to 1.0 × 10⁻³ (Fig. 1C). They are upper bounds on survival, not measurements of it.</w:t>
      </w:r>
    </w:p>
    <w:p>
      <w:r>
        <w:t xml:space="preserve">The labels those eighteen received differ accordingly. Six isolates that began at 23,000 per mL recorded a fraction of 10⁻³ and were classified </w:t>
      </w:r>
      <w:r>
        <w:rPr>
          <w:b/>
        </w:rPr>
        <w:t>medium</w:t>
      </w:r>
      <w:r>
        <w:t xml:space="preserve"> tolerance; twelve that began at 230,000 or above recorded 10⁻⁴ or less and were classified </w:t>
      </w:r>
      <w:r>
        <w:rPr>
          <w:b/>
        </w:rPr>
        <w:t>low</w:t>
      </w:r>
      <w:r>
        <w:t>. A single cut on the starting density alone reproduces all eighteen (Table 2): once a reading is censored at the floor, the starting density fixes which label the published rule is able to return.</w:t>
      </w:r>
    </w:p>
    <w:p>
      <w:pPr>
        <w:spacing w:before="240"/>
      </w:pPr>
      <w:r>
        <w:rPr>
          <w:b/>
          <w:sz w:val="22"/>
        </w:rPr>
        <w:t>3. The floor predicts, before rifampicin is added, which isolates will be mislabeled</w:t>
      </w:r>
    </w:p>
    <w:p>
      <w:r>
        <w:t>Sections 1 and 2 counted isolates. The two boundaries derived in the Methods do more: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230,000 per mL and </w:t>
      </w:r>
      <w:r>
        <w:rPr>
          <w:i/>
        </w:rPr>
        <w:t>N</w:t>
      </w:r>
      <w:r>
        <w:t>_id = 23/10⁻³ = 23,000 per mL. Applied to the 15-day panel, the first predicts the 33 isolates unable to reach the 99.99 per cent endpoint; the second predicts that of the eighteen isolates whose reading rests on the floor, twelve have only the lowest class compatible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What is sharp is the boundary case. Six isolates sit at exactly 23,000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w:t>
      </w:r>
    </w:p>
    <w:p>
      <w:r>
        <w:t>The empirical findings are therefore consequences of the definitions rather than properties of this deposit: any dataset reporting a starting density, a floor and a threshold classification can be checked against them.</w:t>
      </w:r>
    </w:p>
    <w:p>
      <w:pPr>
        <w:spacing w:before="240"/>
      </w:pPr>
      <w:r>
        <w:rPr>
          <w:b/>
          <w:sz w:val="22"/>
        </w:rPr>
        <w:t>4. Isoniazid-resistant isolates appear more rifampicin-tolerant, but the effect tracks a thinner inoculum, not resistance</w:t>
      </w:r>
    </w:p>
    <w:p>
      <w:r>
        <w:t>There are two candidate predictors of the deposited label, each tested at two culture ages and two endpoint depths, eight tests in all. Eight tests on one question will throw up a false positive on their own, so they are corrected together as one family. Two survive (Table S4).</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until starting density enters the model. Unadjusted, a resistant isolate has 2.32 times the odds of a higher tolerance class (1.30 to 4.12, p = 0.0042); adjusted, the odds ratio falls to 1.31 (0.67 to 2.57, p = 0.42), and the interval no longer excludes one. Starting density is the strongest term in the file: every ten-fold rise in the starting MPN halves the odds of a higher tolerance class (OR 0.480, 0.340 to 0.677, p = 2.9 × 10⁻⁵).</w:t>
      </w:r>
    </w:p>
    <w:p>
      <w:r>
        <w:t>Why the adjustment does that is measurable. Isoniazid-resistant isolates go into this assay at 5.36 log10 against 6.36 for susceptible isolates, ten-fold thinner (Mann-Whitney p = 9.1 × 10⁻¹⁴ (8)), and 22 of the 84 resistant isolates carrying an ordered label lack the headroom for the deepest endpoint, 26.2 per cent, against 9 of 119 susceptible, 7.6 per cent. They are one log short of observable killing before the experiment begins.</w:t>
      </w:r>
    </w:p>
    <w:p>
      <w:r>
        <w:t>In that stratum the two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5. Six laboratories given one M. tuberculosis protocol still see six different assay floors</w:t>
      </w:r>
    </w:p>
    <w:p>
      <w:r>
        <w:t>If the effect is a property of assay geometry rather than of clinical sampling, it should appear where one protocol, one strain and one stock are handed out deliberately. Van Wijk and colleagues ran exactly that exercise, sending a single stock of H37Rv to six blinded laboratories under one written protocol (9, 10).</w:t>
      </w:r>
    </w:p>
    <w:p>
      <w:r>
        <w:t>At ten times the minimum inhibitory concentration of moxifloxacin all six laboratories return a positive kill rate, spanning 5.2-fold, from 0.090 to 0.464 log10 CFU/mL per day (Fig. 2A, Table S5).</w:t>
      </w:r>
    </w:p>
    <w:p>
      <w:r>
        <w:t>The two orderings do not correspond. Rank the laboratories by starting density and the three lowest are exactly the three that recorded crossings, the three highest exactly the three that did not, without exception, a split with probability 1/20 under chance alone, reported as an ordering and not a test (Table S6). Rank them by kill rate and there is no such correspondence (Fig. 2B). Institute F has the highest starting density at 6.53 log10 among treated flasks of this arm, kills faster than four of the other five at 0.223 log10 per day, and records no crossing. Institute E returns the slowest rate of all at 0.090 and also records none.</w:t>
      </w:r>
    </w:p>
    <w:p>
      <w:pPr>
        <w:spacing w:before="240"/>
      </w:pPr>
      <w:r>
        <w:rPr>
          <w:b/>
          <w:sz w:val="22"/>
        </w:rPr>
        <w:t>6. The two boundaries hold in a deposit never used to derive them, in a different organism and drug</w:t>
      </w:r>
    </w:p>
    <w:p>
      <w:r>
        <w:t xml:space="preserve">Dubey and colleagues report amoxicillin-clavulanate against </w:t>
      </w:r>
      <w:r>
        <w:rPr>
          <w:i/>
        </w:rPr>
        <w:t>Escherichia coli</w:t>
      </w:r>
      <w:r>
        <w:t xml:space="preserve"> in a hollow-fibre system (11, 12). Their Methods state 100 µL plated with counts per mL, so </w:t>
      </w:r>
      <w:r>
        <w:rPr>
          <w:i/>
        </w:rPr>
        <w:t>L</w:t>
      </w:r>
      <w:r>
        <w:t xml:space="preserve"> = 10 CFU/mL is derived rather than inferred, and the file corroborates the derivation: all 229 genuine counts are multiples of ten, the smallest exactly ten, while 69 further entries read as one, which no 100 µL plate can produce and which are the deposit's placeholder for below the floor.</w:t>
      </w:r>
    </w:p>
    <w:p>
      <w:r>
        <w:t>Across the 20 cultures with a measured day-zero density, headroom runs from 4.85 to 5.45 log10 (Table S7). Endpoints at 1, 2, 3 and 4 logs are reachable for every culture; a 5-log endpoint is unreachable for 5 of 20, a 6-log endpoint for all 20. On data it was not built from, the framework locates the depth at which a sterilisation claim stops being demonstrable.</w:t>
      </w:r>
    </w:p>
    <w:p>
      <w:pPr>
        <w:spacing w:before="240"/>
      </w:pPr>
      <w:r>
        <w:rPr>
          <w:b/>
          <w:sz w:val="22"/>
        </w:rPr>
        <w:t>7. A second distortion in M. tuberculosis: bacilli invisible to culture, not just below the floor</w:t>
      </w:r>
    </w:p>
    <w:p>
      <w:r>
        <w:t>Everything above is about the floor. One published observation in this organism shows the floor is not the only reason a colony count understates the population, and the two failures must not be confused.</w:t>
      </w:r>
    </w:p>
    <w:p>
      <w:r>
        <w:t>Evangelopoulos and colleagues counted the same mouse lungs three ways, colony count, a molecular bacterial load from 16S rRNA, and a most probable number, on their way to a different question (13). Under the deepest regimens the colony count reads zero in every animal: in three arms, 18 lungs in all, the plate declared every lung sterile while the most probable number on that same tissue ran from 1,450 to 18,700 per lung. The molecular load can be dismissed as nucleic acid outliving its owner; the most probable number cannot, because growth in a dilution series requires an organism that is alive and culturable.</w:t>
      </w:r>
    </w:p>
    <w:p>
      <w:r>
        <w:t xml:space="preserve">That gap is not the detection floor. For censoring to explain a plate reading of zero against 1,450 organisms in the same tissue, the colony count's floor would have to sit above 1,450 per lung, far less of the homogenate than any lung protocol plates. This is differential culturability, a described phenotype of </w:t>
      </w:r>
      <w:r>
        <w:rPr>
          <w:i/>
        </w:rPr>
        <w:t>M. tuberculosis</w:t>
      </w:r>
      <w:r>
        <w:t>: resuscitation-promoting-factor-dependent bacilli dominate pre-treatment sputum and rise during chemotherapy (14), both dependent and independent differentially culturable populations are recovered from patients whose solid-medium cultures return nothing (15), and rifamycin action on ribonucleic acid (RNA) polymerase converts a starved population to over 90 per cent differentially detectable in vitro (16), the same drug class every arm of the Evangelopoulos regimen carries.</w:t>
      </w:r>
    </w:p>
    <w:p>
      <w:r>
        <w:t>Reachability and identifiability are arithmetic on the plated volume and would hold in an assay with perfect culturability. Differential culturability is biology, acts on the numerator rather than the floor, and nothing here derives or measures it. They push the same way: a count that is both floored and culture-selective understates the surviving population twice over, and the mouse model that decides which regimens enter clinical trials reads out in colony counts, in exactly this region.</w:t>
      </w:r>
    </w:p>
    <w:p>
      <w:r>
        <w:t xml:space="preserve">That deposit establishes no floor of its own. Five further </w:t>
      </w:r>
      <w:r>
        <w:rPr>
          <w:i/>
        </w:rPr>
        <w:t>M. tuberculosis</w:t>
      </w:r>
      <w:r>
        <w:t xml:space="preserve"> deposits in the same screen do. Across those five, sputum from pulmonary tuberculosis, axenic culture, an auxotrophic H37Rv panel and two drug-development series, with floors from 13 to 200 CFU/mL, </w:t>
      </w:r>
      <w:r>
        <w:rPr>
          <w:b/>
        </w:rPr>
        <w:t>184 of 310 series could not have demonstrated a four-log reduction however completely the drug worked, and 240 of 310 could not have demonstrated five</w:t>
      </w:r>
      <w:r>
        <w:t xml:space="preserve"> (Table S8); one could not have shown four logs in a single one of its 123 series. None of these five carries the analysis above, and none is among the five reanalysed here; they say the reachability problem is not a property of one clinical panel.</w:t>
      </w:r>
    </w:p>
    <w:p>
      <w:pPr>
        <w:spacing w:before="240"/>
      </w:pPr>
      <w:r>
        <w:rPr>
          <w:b/>
          <w:sz w:val="22"/>
        </w:rPr>
        <w:t>8. A prospective E. coli experiment confirms the floor artifact: one culture, two plated volumes, two conflicting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with its predictions written down before a plate was counted. </w:t>
      </w:r>
      <w:r>
        <w:rPr>
          <w:i/>
        </w:rPr>
        <w:t>Escherichia coli</w:t>
      </w:r>
      <w:r>
        <w:t xml:space="preserve"> ATCC 25922, the reference strain the standard names for quality control, against ciprofloxacin at ten times the concentration that stops it growing. Three seeding densities, two plated volumes, three flasks each, 216 plate readings.</w:t>
      </w:r>
    </w:p>
    <w:p>
      <w:r>
        <w:t xml:space="preserve">The middle arm was seeded on purpose at the 5 × 10⁵ per mL the standard specifies. The densities actually reached were 6.4 × 10⁴, 4.4 × 10⁵ and 3.8 × 10⁶ per mL as arm means, but </w:t>
      </w:r>
      <w:r>
        <w:rPr>
          <w:i/>
        </w:rPr>
        <w:t>N</w:t>
      </w:r>
      <w:r>
        <w:t xml:space="preserve">₀ is a measurement made once per culture rather than a setting the protocol supplies, so headroom belongs to a flask and everything below is reported per flask. At the 100 µL plating the low arm's three flasks have 4.19, 4.11 and 4.00 logs of headroom, the last exactly at the four-log endpoint. </w:t>
      </w:r>
      <w:r>
        <w:rPr>
          <w:b/>
        </w:rPr>
        <w:t>At the standard inoculum plated at 10 µL, the deepest reduction the three flasks could report ran from 3.71 to 3.93 logs</w:t>
      </w:r>
      <w:r>
        <w:t>, while those same three cultures plated at 100 µL ran from 4.88 to 5.05 (Fig. S5B, Table S9). Every flask is paired with itself across the two platings.</w:t>
      </w:r>
    </w:p>
    <w:p>
      <w:r>
        <w:t xml:space="preserve">That much is arithmetic.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so they can fall either side of a class threshold and give one culture two labels. </w:t>
      </w:r>
      <w:r>
        <w:rPr>
          <w:b/>
        </w:rPr>
        <w:t>The quantity that could have come out zero is how often a real experiment lands in the window where those two fractions straddle the cut</w:t>
      </w:r>
      <w:r>
        <w:t xml:space="preserve">, and it depends on where the cut is (Fig. S5C, Table S10). Put the cut at one per cent and the window is nearly shut. Put it at one in a thousand, where the clinical classification above cuts its lowest class, and six of 54 sample-times receive two different labels from one culture, one in nine. That cut is imported from the tuberculosis classification; it serves here as a ruler for the window's width, not a claim about </w:t>
      </w:r>
      <w:r>
        <w:rPr>
          <w:i/>
        </w:rPr>
        <w:t>E. coli</w:t>
      </w:r>
      <w:r>
        <w:t xml:space="preserve">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and once it is a number, it is harder to see.</w:t>
      </w:r>
    </w:p>
    <w:p>
      <w:r>
        <w:t xml:space="preserve">The standard is not silent on that choice. M26-A's section 1.3.2.5, </w:t>
      </w:r>
      <w:r>
        <w:rPr>
          <w:i/>
        </w:rPr>
        <w:t>Volume Transferred</w:t>
      </w:r>
      <w:r>
        <w:t>, ties the volume to the endpoint with a counting rule: after the defined 99.9 per cent killing, at least ten colonies must remain (17)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because the endpoint moved: M26-A nowhere contemplates a four-log call, and the volume rule did not travel with the deeper endpoints.</w:t>
      </w:r>
    </w:p>
    <w:p>
      <w:r>
        <w:t>Take the assay's contribution out and what is left is consistent with biology. Growth state predicts the tolerance class before and after adjustment for starting density (isoniazid needs KatG and active cell-wall synthesis (18), rifampicin needs transcription (19)), and a population that is not dividing offers less of what these drugs act on. The classification tracks physiological state at least as much as drug susceptibility.</w:t>
      </w:r>
    </w:p>
    <w:p>
      <w:r>
        <w:t>That axis is the one tuberculosis drug development already leans on. Killing assays of this design rank regimens before they enter trials, and tolerance followed in patients is now being read as within-host evolution (20). A whole-host simulation of tuberculosis treatment reports the same sensitivity one step further downstream: which regimen ranks best in a granuloma model changes with the CFU detection threshold used to define success, independent of any question about tolerance classification (21). If a tolerance classification is partly an inoculum measurement, conclusions drawn from it, that one regimen sterilises faster than another, or that a patient's isolates are becoming more tolerant over therapy, are in part conclusions about how the assay was set up. The correction applied here does not remove the biology; it aims it at the right target. The phenotype that survives the correction is growth state, real, targetable and directly measurable, unlike a fraction read off a floor.</w:t>
      </w:r>
    </w:p>
    <w:p>
      <w:r>
        <w:t>The prospective experiment has a limitation a reader should raise first. Its samples were diluted in saline and plated; they were not washed, filtered or treated to inactivate the drug, and no carryover control was run. Antibiotic carried onto the plate suppresses colony formation without killing anything, the same class of counting artefact this paper is about. The design is conservative in this respect rather than clean: the larger plated volume carries ten times more drug to the plate, so carryover would shrink the difference between the two platings that Section 8 reports, not manufacture it. The experiment cannot exclude carryover, and a repetition should include the control that would.</w:t>
      </w:r>
    </w:p>
    <w:p>
      <w:r>
        <w:t>Several further limitations bound what the analysis can establish; each points at the experiment that would settle the question, and the ones bearing on the claims made are given here, with the rest in the supplement.</w:t>
      </w:r>
    </w:p>
    <w:p>
      <w:r>
        <w:t xml:space="preserve">This paper has already acted on the first rather than declaring it. Flasks from one laboratory share a starting culture; repeat isolates come from a patient already counted. Every conclusion from the two primary deposits was recomputed at the level where the observations are independent, listed one line at a time (Table S6): twenty survive unchanged, six survive with much wider uncertainty, five do not survive and </w:t>
      </w:r>
      <w:r>
        <w:rPr>
          <w:b/>
        </w:rPr>
        <w:t>have already been removed from the text above</w:t>
      </w:r>
      <w:r>
        <w:t>, and one is withdrawn because the null it was tested against was already false before any data were seen.</w:t>
      </w:r>
    </w:p>
    <w:p>
      <w:r>
        <w:t>The 15-day and 60-day panels of the clinical deposit contain the same isolates. The comparison between panels is therefore not independent, and it bounds the evidence for a difference rather than establishing it.</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rPr>
          <w:b/>
        </w:rPr>
        <w:t>Choose the depth of the endpoint to fit the headroom actually available, rather than densifying the inoculum merely to buy more.</w:t>
      </w:r>
      <w:r>
        <w:t xml:space="preserve"> The inoculum needed can be worked out before the experiment: seeding above </w:t>
      </w:r>
      <w:r>
        <w:rPr>
          <w:i/>
        </w:rPr>
        <w:t>L</w:t>
      </w:r>
      <w:r>
        <w:t xml:space="preserve"> · max(10^</w:t>
      </w:r>
      <w:r>
        <w:rPr>
          <w:i/>
        </w:rPr>
        <w:t>q</w:t>
      </w:r>
      <w:r>
        <w:t>, 1/</w:t>
      </w:r>
      <w:r>
        <w:rPr>
          <w:i/>
        </w:rPr>
        <w:t>c</w:t>
      </w:r>
      <w:r>
        <w:t>₁) makes both failure modes impossible, the endpoint that was never reachable and the last count that lands on the floor; for this assay that is 230,000 per mL. Seeding higher also changes the experiment, because a denser culture is a different physiological state, and physiological state is what the tolerance label tracks. Where the deep endpoint is wanted, lower the assay floor instead; where the headroom will not carry it either way, the shallower endpoint is the honest one.</w:t>
      </w:r>
    </w:p>
    <w:p>
      <w:r>
        <w:rPr>
          <w:b/>
        </w:rPr>
        <w:t>Treat an endpoint at the floor as a bound, not a value.</w:t>
      </w:r>
      <w:r>
        <w:t xml:space="preserve"> Analysed as a measurement it manufactures differences between isolates whose final viable burdens the assay could not tell apart.</w:t>
      </w:r>
    </w:p>
    <w:p>
      <w:r>
        <w:rPr>
          <w:b/>
        </w:rPr>
        <w:t>Fix the inoculum, or adjust for it, before comparing tolerance across groups.</w:t>
      </w:r>
      <w:r>
        <w:t xml:space="preserve"> The comparison that motivated this work, resistant against susceptible isolates, is confounded by a ten-fold difference in starting density. Until that difference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ASTM International (the American Society for Testing and Materials) guide E2315 sets out how to run and report a time-kill procedure in general (organism, media, neutralisation, raw counts), and none of its reporting requirements is </w:t>
      </w:r>
      <w:r>
        <w:rPr>
          <w:i/>
        </w:rPr>
        <w:t>L</w:t>
      </w:r>
      <w:r>
        <w:t>, headroom or a censoring convention specific to a duration endpoint cut on a fraction of the starting count (22). The five fields above are additional to that guide,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The remedy adopted was to stop asking whether the culture went negative and to start asking how far it fell, expressed as a fraction of where it began so that the starting culture could not matter. The fraction stops being a fraction once the population reaches the floor. What is recorded from that point is </w:t>
      </w:r>
      <w:r>
        <w:rPr>
          <w:i/>
        </w:rPr>
        <w:t>L</w:t>
      </w:r>
      <w:r>
        <w:t>/</w:t>
      </w:r>
      <w:r>
        <w:rPr>
          <w:i/>
        </w:rPr>
        <w:t>N₀</w:t>
      </w:r>
      <w:r>
        <w:t>, which moves with the starting density and not with the surviving population: here for fifteen per cent of isolates at the depth the classification uses, and for the eighteen isolates whose recorded label a single threshold on their inoculum reproduces exactly.</w:t>
      </w:r>
    </w:p>
    <w:p>
      <w:r>
        <w:t>A tolerance call made without its headroom cannot be told apart from an inoculum measurement, and the phenotype associated with survival after correction tracks physiological state at least as much as drug susceptibility. That is not the same as saying tolerance is an artefact. Report the starting density and the assay floor. Match the depth of the endpoint to the range actually available. Treat a reading at the floor as a bound. Until those three things are routine,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S11), a five-field minimum that makes any killing endpoint recomputable (Box 2), and a small tool that returns the endpoint a planned assay can support.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A screen of 78 time-kill datasets for M. tuberculosis and E. coli assay floors</w:t>
      </w:r>
    </w:p>
    <w:p>
      <w:r>
        <w:t xml:space="preserve">This study combined mathematical derivation, analysis of five public datasets, and a prospective </w:t>
      </w:r>
      <w:r>
        <w:rPr>
          <w:i/>
        </w:rPr>
        <w:t>Escherichia coli</w:t>
      </w:r>
      <w:r>
        <w:t xml:space="preserve"> experiment. We assembled 78 candidate time-kill datasets from the published literature (21 August – 8 September 2026) and screened 45 of them field by field for the three quantities the two boundaries below require: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no limit of detection, no limit of quantification, and no plated volume from which one could be derived. Eighteen carried enough information to compute both boundaries, and five carried the complete set of fields the full analysis requires (Table 3, Figure S4). The full pipeline is summarised in Figure S6. These 78 candidates are a documented sample of the literature, assembled without a registered search protocol; the two boundaries are derived from definitions rather than estimated from the corpus's size, so a single deposit with a stated floor is enough to demonstrate them.</w:t>
      </w:r>
    </w:p>
    <w:p>
      <w:r>
        <w:t xml:space="preserve">Four datasets supported the empirical analyses. </w:t>
      </w:r>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and the authors' own tolerance level for each isolate (23).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(9, 10). Moxifloxacin and isoniazid at one and ten times the minimum inhibitory concentration, three flasks per arm, each sample plated at four volumes: 100 µL quadruplicate, 10 µL as four drops, 10 µL as a single drop, and 2.5 µL as a single drop, giving three distinct floors spanning 1.60 log10 within a single flask-visit (24).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(25, 26). Six of its 595 surviving fractions are written as exact zeros with no named floor, so this deposit is one of two for which observability labels are refused.</w:t>
      </w:r>
    </w:p>
    <w:p>
      <w:r>
        <w:rPr>
          <w:b/>
        </w:rPr>
        <w:t>Concentration-by-time grid:</w:t>
      </w:r>
      <w:r>
        <w:t xml:space="preserve"> apramycin against </w:t>
      </w:r>
      <w:r>
        <w:rPr>
          <w:i/>
        </w:rPr>
        <w:t>M. tuberculosis</w:t>
      </w:r>
      <w:r>
        <w:t xml:space="preserve"> at 128, 32, 8, 4 and 1 µg/mL, triplicate log10 CFU at days 0, 3, 7 and 14 (27, 28). The 1 µg/mL arm shows net growth rather than killing and is excluded from the dose comparison, leaving 4 to 128 µg/mL as the range compared (Text S3).</w:t>
      </w:r>
    </w:p>
    <w:p>
      <w:r>
        <w:t xml:space="preserve">A fifth dataset was evaluated only after the boundaries, thresholds, and modelling choices had been fixed. </w:t>
      </w:r>
      <w:r>
        <w:rPr>
          <w:b/>
        </w:rPr>
        <w:t>Validation deposit:</w:t>
      </w:r>
      <w:r>
        <w:t xml:space="preserve"> amoxicillin- clavulanate against </w:t>
      </w:r>
      <w:r>
        <w:rPr>
          <w:i/>
        </w:rPr>
        <w:t>Escherichia coli</w:t>
      </w:r>
      <w:r>
        <w:t xml:space="preserve"> in a hollow-fibre infection model, with 100 µL plated, measured day-zero densities for every culture, and below-limit readings retained as a placeholder (11, 12). It was the only deposit found carrying all three fields the boundaries require, and no boundary, threshold or modelling choice in this paper was informed by it; it is used nowhere else except to confirm them (Section 6).</w:t>
      </w:r>
    </w:p>
    <w:p>
      <w:r>
        <w:t>Each dataset's organism, drug, design and licence is summarised in Table 1; the complete screening manifest and exclusion reasons accompany the analysis code.</w:t>
      </w:r>
    </w:p>
    <w:p>
      <w:pPr>
        <w:spacing w:before="240"/>
      </w:pPr>
      <w:r>
        <w:rPr>
          <w:b/>
          <w:sz w:val="22"/>
        </w:rPr>
        <w:t>Prospective E. coli experiment designed to test the floor artifact</w:t>
      </w:r>
    </w:p>
    <w:p>
      <w:r>
        <w:t xml:space="preserve">An </w:t>
      </w:r>
      <w:r>
        <w:rPr>
          <w:i/>
        </w:rPr>
        <w:t>in vitro</w:t>
      </w:r>
      <w:r>
        <w:t xml:space="preserve"> experiment was designed to prospectively test both boundaries.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(17, 29). The ciprofloxacin MIC, determined by CLSI reference broth microdilution (29, 30), was 0.008 mg/L, within the CLSI quality-control range for this strain (30); the exposure was set at ten times it, 0.08 mg/L, chosen to kill deeply and fast enough that every arm reaches the floor within the sampling window.</w:t>
      </w:r>
    </w:p>
    <w:p>
      <w:r>
        <w:t xml:space="preserve">Three seeding arms were set so the four-log endpoint is unreachable in one, marginal in the second and comfortable in the third: targets of 5 × 10⁴, 5 × 10⁵ and 5 × 10⁶ CFU/mL (the middle arm the CLSI-specified inoculum), reaching 6.4 × 10⁴, 4.4 × 10⁵ and 3.8 × 10⁶ CFU/mL as measured from day-zero counts: headroom of 4.11, 4.94 and 5.88 logs at the pooled 100 µL floor, and 3.11, 3.94 and 4.88 logs at the pooled 10 µL floor, so the lowest arm is reachable for a four-log endpoint only at the deeper plating.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8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Where rifampicin tolerance readings are censored by the assay floor</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the only short form used, so that "boundary" is left free for the two derived boundaries of the next subsection. The event a time-to-event analysis records is correspondingly a first observed crossing below the assay floor. What </w:t>
      </w:r>
      <w:r>
        <w:rPr>
          <w:i/>
        </w:rPr>
        <w:t>L</w:t>
      </w:r>
      <w:r>
        <w:t xml:space="preserve"> is in each deposit is tabulated deposit by deposit (Table S12).</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it is the smallest value in the file, nothing lies below it in 1,932 readings, and the minimum shifts by exactly a factor of ten per culture age; the conclusions drawn from it hold across the full range the deposit's own MPN table admits (Table S13). 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r>
        <w:t xml:space="preserve">A volume-derived plate floor bounds the true count from above, [0, </w:t>
      </w:r>
      <w:r>
        <w:rPr>
          <w:i/>
        </w:rPr>
        <w:t>L</w:t>
      </w:r>
      <w:r>
        <w:t>]; an MPN rung does not, since its likelihood extends well above the rung. Every identifiability verdict was therefore recomputed under the assay's own likelihood rather than the plate-sweep bound, confirming the same classification under both treatments (Table S14). Each below-limit flag in the six-laboratory deposit is judged against its own plated volume's floor rather than pooled to the least sensitive volume, since pooling would discard genuine quantified counts a more sensitive plating of the same sample recorded (Table S12 note).</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S15): the clinical deposit passes this rule at 0.40 log10 of support, and two of the five deposits fail it. This paper fits nothing to predict an MDK: once </w:t>
      </w:r>
      <w:r>
        <w:rPr>
          <w:i/>
        </w:rPr>
        <w:t>L</w:t>
      </w:r>
      <w:r>
        <w:t xml:space="preserve"> is in hand the rest is derived.</w:t>
      </w:r>
    </w:p>
    <w:p>
      <w:r>
        <w:t>The same likelihood turns classification into an inference with its own refusal rule: given a floor reading, the posterior over the true count maps through starting density to a posterior over class, and an isolate is refused when no class reaches 95 per cent confidence (Table S11). The refusal holds across both well designs, both floor readings and two priors.</w:t>
      </w:r>
    </w:p>
    <w:p>
      <w:pPr>
        <w:spacing w:before="240"/>
      </w:pPr>
      <w:r>
        <w:rPr>
          <w:b/>
          <w:sz w:val="22"/>
        </w:rPr>
        <w:t>Two boundaries that predict which rifampicin tolerance calls are unreliable</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 xml:space="preserve">₁) makes both failure modes impossible before an experiment runs. The class thresholds </w:t>
      </w:r>
      <w:r>
        <w:rPr>
          <w:i/>
        </w:rPr>
        <w:t>c</w:t>
      </w:r>
      <w:r>
        <w:t xml:space="preserve">₁, </w:t>
      </w:r>
      <w:r>
        <w:rPr>
          <w:i/>
        </w:rPr>
        <w:t>c</w:t>
      </w:r>
      <w:r>
        <w:t xml:space="preserve">₂ are an input to this definition, not an output of it: </w:t>
      </w:r>
      <w:r>
        <w:rPr>
          <w:i/>
        </w:rPr>
        <w:t>N</w:t>
      </w:r>
      <w:r>
        <w:t>_id only tests a classification independently of the data being classified when the thresholds come from somewhere other than that data. Where a deposit states its own thresholds, the test is independent; where they are recovered from the deposit itself, as in Results Section 2, the agreement that follows is an identity rather than a test, and the manuscript says so at the point it occurs.</w:t>
      </w:r>
    </w:p>
    <w:p>
      <w:pPr>
        <w:spacing w:before="240"/>
      </w:pPr>
      <w:r>
        <w:rPr>
          <w:b/>
          <w:sz w:val="22"/>
        </w:rPr>
        <w:t>Statistical analysis</w:t>
      </w:r>
    </w:p>
    <w:p>
      <w:r>
        <w:t xml:space="preserve">Log10 viable counts were modelled as a linear function of time using a </w:t>
      </w:r>
      <w:r>
        <w:rPr>
          <w:b/>
        </w:rPr>
        <w:t>Tobit model</w:t>
      </w:r>
      <w:r>
        <w:t xml:space="preserve"> with observation-specific left-censoring limits, fitted by maximum likelihood (31); a censored reading contributes log Φ((limit − µ)/σ), the probability it fell below its own limit (Beal's M3 written for this assay (32)). As a consistency check, 50 imputed datasets were generated from the fitted truncated-normal distribution, analysed by ordinary least squares, and pooled using Rubin's rules (33); both procedures share the same distributional assumptions, so their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was modelled as an ordered categorical outcome by proportional-odds ordinal logistic regression (34), with starting density as a prespecified covariate; proportional odds was tested by a Brant test per predictor (35) and a likelihood-ratio test against a generalised ordered logit (36), with the partial-proportional-odds fit reported where it fails and checked against a multinomial fit assuming no ordering (Table S16).</w:t>
      </w:r>
    </w:p>
    <w:p>
      <w:r>
        <w:rPr>
          <w:b/>
        </w:rPr>
        <w:t>Time-to-event analysis</w:t>
      </w:r>
      <w:r>
        <w:t xml:space="preserve"> treated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(37) are reported alongside Kaplan–Meier (38) and Cox proportional hazards (39) as descriptive summaries, with cluster bootstraps over laboratories and flasks (40) in place of the partial likelihood's independence assumption, and proportionality tested on Schoenfeld residuals (41, 42).</w:t>
      </w:r>
    </w:p>
    <w:p>
      <w:r>
        <w:rPr>
          <w:b/>
        </w:rPr>
        <w:t>The replicate-level bootstrap</w:t>
      </w:r>
      <w:r>
        <w:t xml:space="preserve"> (43) behind interval slopes resamples the three replicate counts with replacement, takes their mean, refits the concentration slope on each draw, and takes percentile intervals from 20,000 draws, reported instead of a least-squares fit through the deposited concentration means, which has two residual degrees of freedom and discards the replicate scatter. An interval on a proportion is the Jeffreys interval (44).</w:t>
      </w:r>
    </w:p>
    <w:p>
      <w:r>
        <w:rPr>
          <w:b/>
        </w:rPr>
        <w:t>Causal mediation of the resistance association.</w:t>
      </w:r>
      <w:r>
        <w:t xml:space="preserve"> A linear product-of-coefficients mediation decomposes the total effect of isoniazid resistance on the day-5 tolerance class into an average causal mediation effect through log10 </w:t>
      </w:r>
      <w:r>
        <w:rPr>
          <w:i/>
        </w:rPr>
        <w:t>N₀</w:t>
      </w:r>
      <w:r>
        <w:t xml:space="preserve"> and an average direct effect (45, 46),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r>
        <w:rPr>
          <w:b/>
        </w:rPr>
        <w:t>Denominators.</w:t>
      </w:r>
      <w:r>
        <w:t xml:space="preserve"> A dozen denominators appear in this paper and each is derived in a single place (Table S3):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S17).</w:t>
      </w:r>
    </w:p>
    <w:p>
      <w:r>
        <w:rPr>
          <w:b/>
        </w:rPr>
        <w:t>Decomposition of a crossing time.</w:t>
      </w:r>
      <w:r>
        <w:t xml:space="preserve"> 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r>
        <w:rPr>
          <w:b/>
        </w:rPr>
        <w:t>Multiplicity.</w:t>
      </w:r>
      <w:r>
        <w:t xml:space="preserve"> Where a question admits more than one test, every test the deposit supports is run, and the family is corrected by the Benjamini–Hochberg procedure (47) at a false discovery rate of 5 per cent.</w:t>
      </w:r>
    </w:p>
    <w:p>
      <w:r>
        <w:t>Four procedures are implemented in the released analysis code rather than taken from a package: the Brant test, the partial-proportional-odds fit, the product-of-coefficients mediation, and the residual-correlation sensitivity. These live in `exp30_ordinal_tolerance.py` and `exp34_mediation.py`; the partial-proportional-odds likelihood is validated against the proportional-odds fit it nests, agreeing to 1.0 × 10⁻¹⁰ in log-likelihood.</w:t>
      </w:r>
    </w:p>
    <w:p>
      <w:r>
        <w:t>Analyses used Python 3.14 with numpy 2.5.0 (48), scipy 1.18.0 (49), pandas 3.0.3 (50), statsmodels 0.15.0 (51) and lifelines 0.30.3 (52).</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clinical isolates reanalysed in Section 1 through Section 5 were collected under the ethical approval reported by their depositors: the Institutional Research Board of Pham Ngoc Thach Hospital, the Ho Chi Minh City Health Services and the Oxford University Tropical Research Ethics Committee (OxTREC 030-07) (53); the isolates are deposited de-identified and CC BY 4.0 licensed for secondary analysis, and this manuscript performs no new sampling from any patient.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3 and cited alongside the article that first described it: Vijay and colleagues (23, 53), van Wijk and colleagues (9, 10), Windels and colleagues (25, 26), Kaur and colleagues (27, 28), and the hollow-fibre Source Data of Dubey and colleagues (11, 12), held out of every fitting step. The readings from the prospective experiment are deposited with the analysis code.</w:t>
      </w:r>
    </w:p>
    <w:p>
      <w:r>
        <w:t>That code, both audit scripts, the headroom tool and machine-readable receipts recording the software versions each stage ran under are in a public repository (54),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6b34842+ of it.</w:t>
      </w:r>
    </w:p>
    <w:p>
      <w:pPr>
        <w:spacing w:before="240"/>
      </w:pPr>
      <w:r>
        <w:rPr>
          <w:b/>
          <w:sz w:val="22"/>
        </w:rPr>
        <w:t>Declaration of computational reproducibility</w:t>
      </w:r>
    </w:p>
    <w:p>
      <w:r>
        <w:t>Every number in this paper is regenerated by a script that writes a machine-readable receipt, and an audit script recomputes 174 quantities quoted in the text from the tables they came from. A second audit checks that every number in the Abstract, Box 1, and every table and figure legend traces to a results file or receipt, that no numeric literal carries two incompatible statistical labels (a hazard ratio quoted where another table calls the same figure a p-value, for example), and that no cross-reference or sample-size count is stale. Neither audit pins every cell of every table.</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9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(25)</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Harms A, Fino C, Sørensen MA, Semsey S, Gerdes K. 2017. Prophages and growth dynamics confound experimental results with antibiotic-tolerant persister cells. mBio 8:e01964-17. https://doi.org/10.1128/mBio.01964-17.</w:t>
      </w:r>
    </w:p>
    <w:p>
      <w:r>
        <w:t>6. Cochran WG. 1950. Estimation of bacterial densities by means of the "most probable number". Biometrics 6:105. https://doi.org/10.2307/3001491.</w:t>
      </w:r>
    </w:p>
    <w:p>
      <w:r>
        <w:t>7. Blodgett R. 2023. BAM appendix 2: most probable number from serial dilutions. Bacteriological analytical manual. US Food and Drug Administration, Silver Spring, MD. https://www.fda.gov/food/laboratory-methods-food/bam-appendix-2-most-probable-number-serial-dilutions.</w:t>
      </w:r>
    </w:p>
    <w:p>
      <w:r>
        <w:t>8. Mann HB, Whitney DR. 1947. On a test of whether one of two random variables is stochastically larger than the other. Ann Math Stat 18:50-60. https://doi.org/10.1214/aoms/1177730491.</w:t>
      </w:r>
    </w:p>
    <w:p>
      <w:r>
        <w:t xml:space="preserve">9.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10.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11.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12.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13.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14. Mukamolova GV, Turapov O, Malkin J, Woltmann G, Barer MR. 2010. Resuscitation-promoting factors reveal an occult population of tubercle bacilli in sputum. Am J Respir Crit Care Med 181:174-180. https://doi.org/10.1164/rccm.200905-0661OC.</w:t>
      </w:r>
    </w:p>
    <w:p>
      <w:r>
        <w:t>15.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16.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17. National Committee for Clinical Laboratory Standards. 1999. Methods for determining bactericidal activity of antimicrobial agents; approved guideline. NCCLS document M26-A. National Committee for Clinical Laboratory Standards, Wayne, PA. ISBN 1-56238-384-1.</w:t>
      </w:r>
    </w:p>
    <w:p>
      <w:r>
        <w:t>18. Vilchèze C, Jacobs WR Jr. 2007. The mechanism of isoniazid killing: clarity through the scope of genetics. Annu Rev Microbiol 61:35-50. https://doi.org/10.1146/annurev.micro.61.111606.122346.</w:t>
      </w:r>
    </w:p>
    <w:p>
      <w:r>
        <w:t>19. Campbell EA, Korzheva N, Mustaev A, Murakami K, Nair S, Goldfarb A, Darst SA. 2001. Structural mechanism for rifampicin inhibition of bacterial RNA polymerase. Cell 104:901-912. https://doi.org/10.1016/S0092-8674(01)00286-0.</w:t>
      </w:r>
    </w:p>
    <w:p>
      <w:r>
        <w:t xml:space="preserve">20.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21. Michael CT, Budak M, Maiello P, Kracinovsky K, Rodgers M, Tomko J, Lin PL, Flynn J, Linderman JJ, Kirschner D. 2025. Rankings of tuberculosis antibiotic treatment regimens are sensitive to spatial scale, detection limit, and initial host bacterial burden. J Theor Biol. https://doi.org/10.1016/j.jtbi.2025.112176.</w:t>
      </w:r>
    </w:p>
    <w:p>
      <w:r>
        <w:t>22. ASTM International. 2023. E2315-23: Standard Guide for Assessment of Antimicrobial Activity Using a Time-Kill Procedure. ASTM International, West Conshohocken, PA. https://doi.org/10.1520/E2315-23.</w:t>
      </w:r>
    </w:p>
    <w:p>
      <w:r>
        <w:t xml:space="preserve">23.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25. Windels EM, Cool L, Persy E, Swinnen J, Matthay P, Van den Bergh B, Wenseleers T, Michiels J. 2024. Antibiotic dose and nutrient availability differentially drive the evolution of antibiotic resistance and persistence. ISME J 18:wrae070. https://doi.org/10.1093/ismejo/wrae070.</w:t>
      </w:r>
    </w:p>
    <w:p>
      <w:r>
        <w:t>26.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27.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28. Kaur P. 2024. Apramycin kills replicating and non-replicating </w:t>
      </w:r>
      <w:r>
        <w:rPr>
          <w:i/>
        </w:rPr>
        <w:t>Mycobacterium tuberculosis</w:t>
      </w:r>
      <w:r>
        <w:t xml:space="preserve"> — raw data. figshare. https://doi.org/10.6084/m9.figshare.26462791.v1.</w:t>
      </w:r>
    </w:p>
    <w:p>
      <w:r>
        <w:t>29. Clinical and Laboratory Standards Institute. 2024. Methods for dilution antimicrobial susceptibility tests for bacteria that grow aerobically, 12th ed. CLSI standard M07. Clinical and Laboratory Standards Institute, Wayne, PA.</w:t>
      </w:r>
    </w:p>
    <w:p>
      <w:r>
        <w:t>30. Clinical and Laboratory Standards Institute. 2026. Performance standards for antimicrobial susceptibility testing, 36th ed. CLSI supplement M100. Clinical and Laboratory Standards Institute, Wayne, PA.</w:t>
      </w:r>
    </w:p>
    <w:p>
      <w:r>
        <w:t>31. Tobin J. 1958. Estimation of relationships for limited dependent variables. Econometrica 26:24. https://doi.org/10.2307/1907382.</w:t>
      </w:r>
    </w:p>
    <w:p>
      <w:r>
        <w:t>32. Beal SL. 2001. Ways to fit a PK model with some data below the quantification limit. J Pharmacokinet Pharmacodyn 28:481-504. https://doi.org/10.1023/A:1012299115260.</w:t>
      </w:r>
    </w:p>
    <w:p>
      <w:r>
        <w:t>33. Rubin DB. 1987. Multiple imputation for nonresponse in surveys. John Wiley &amp; Sons, New York, NY. https://doi.org/10.1002/9780470316696.</w:t>
      </w:r>
    </w:p>
    <w:p>
      <w:r>
        <w:t>34. McCullagh P. 1980. Regression models for ordinal data. J R Stat Soc Series B Stat Methodol 42:109-127. https://doi.org/10.1111/j.2517-6161.1980.tb01109.x.</w:t>
      </w:r>
    </w:p>
    <w:p>
      <w:r>
        <w:t>35. Brant R. 1990. Assessing proportionality in the proportional odds model for ordinal logistic regression. Biometrics 46:1171-1178.</w:t>
      </w:r>
    </w:p>
    <w:p>
      <w:r>
        <w:t>36. Peterson B, Harrell FE Jr. 1990. Partial proportional odds models for ordinal response variables. J R Stat Soc Ser C Appl Stat 39:205. https://doi.org/10.2307/2347760.</w:t>
      </w:r>
    </w:p>
    <w:p>
      <w:r>
        <w:t>37. Turnbull BW. 1976. The empirical distribution function with arbitrarily grouped, censored and truncated data. J R Stat Soc Series B Stat Methodol 38:290-295. https://doi.org/10.1111/j.2517-6161.1976.tb01597.x.</w:t>
      </w:r>
    </w:p>
    <w:p>
      <w:r>
        <w:t>38. Kaplan EL, Meier P. 1958. Nonparametric estimation from incomplete observations. J Am Stat Assoc 53:457-481. https://doi.org/10.1080/01621459.1958.10501452.</w:t>
      </w:r>
    </w:p>
    <w:p>
      <w:r>
        <w:t>39. Cox DR. 1972. Regression models and life-tables. J R Stat Soc Series B Stat Methodol 34:187-202. https://doi.org/10.1111/j.2517-6161.1972.tb00899.x.</w:t>
      </w:r>
    </w:p>
    <w:p>
      <w:r>
        <w:t>40. Field CA, Welsh AH. 2007. Bootstrapping clustered data. J R Stat Soc Series B Stat Methodol 69:369-390. https://doi.org/10.1111/j.1467-9868.2007.00593.x.</w:t>
      </w:r>
    </w:p>
    <w:p>
      <w:r>
        <w:t>41. Schoenfeld D. 1982. Partial residuals for the proportional hazards regression model. Biometrika 69:239-241. https://doi.org/10.1093/biomet/69.1.239.</w:t>
      </w:r>
    </w:p>
    <w:p>
      <w:r>
        <w:t>42. Grambsch PM, Therneau TM. 1994. Proportional hazards tests and diagnostics based on weighted residuals. Biometrika 81:515-526. https://doi.org/10.1093/biomet/81.3.515.</w:t>
      </w:r>
    </w:p>
    <w:p>
      <w:r>
        <w:t>43. Efron B. 1979. Bootstrap methods: another look at the jackknife. Ann Stat 7:1-26. https://doi.org/10.1214/aos/1176344552.</w:t>
      </w:r>
    </w:p>
    <w:p>
      <w:r>
        <w:t>44. Brown LD, Cai TT, DasGupta A. 2001. Interval estimation for a binomial proportion. Stat Sci 16:101-133. https://doi.org/10.1214/ss/1009213286.</w:t>
      </w:r>
    </w:p>
    <w:p>
      <w:r>
        <w:t>45. Imai K, Keele L, Yamamoto T. 2010. Identification, inference and sensitivity analysis for causal mediation effects. Stat Sci 25:51-71. https://doi.org/10.1214/10-STS321.</w:t>
      </w:r>
    </w:p>
    <w:p>
      <w:r>
        <w:t>46. Baron RM, Kenny DA. 1986. The moderator-mediator variable distinction in social psychological research: conceptual, strategic, and statistical considerations. J Pers Soc Psychol 51:1173-1182. https://doi.org/10.1037/0022-3514.51.6.1173.</w:t>
      </w:r>
    </w:p>
    <w:p>
      <w:r>
        <w:t>47. Benjamini Y, Hochberg Y. 1995. Controlling the false discovery rate: a practical and powerful approach to multiple testing. J R Stat Soc Series B Stat Methodol 57:289-300. https://doi.org/10.1111/j.2517-6161.1995.tb02031.x.</w:t>
      </w:r>
    </w:p>
    <w:p>
      <w:r>
        <w:t>48.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49.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50. McKinney W. 2010. Data structures for statistical computing in Python. Proceedings of the 9th Python in Science Conference 56-61. https://doi.org/10.25080/Majora-92bf1922-00a.</w:t>
      </w:r>
    </w:p>
    <w:p>
      <w:r>
        <w:t>51. Seabold S, Perktold J. 2010. Statsmodels: econometric and statistical modeling with Python. Proceedings of the 9th Python in Science Conference 92-96. https://doi.org/10.25080/Majora-92bf1922-011.</w:t>
      </w:r>
    </w:p>
    <w:p>
      <w:r>
        <w:t>52. Davidson-Pilon C. 2019. lifelines: survival analysis in Python. J Open Source Softw 4:1317. https://doi.org/10.21105/joss.01317.</w:t>
      </w:r>
    </w:p>
    <w:p>
      <w:r>
        <w:t xml:space="preserve">53.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54. Piranfar V. 2026. Analysis code, audit scripts and headroom tool for "Rifampicin tolerance classification is bounded by assay detection floor among clinical Mycobacterium tuberculosis isolates".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