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1,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(12).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(7, 13).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(8).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(16, 34).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(14, 15). The 1 µg/mL arm shows net growth rather than killing and is excluded from the dose comparison, leaving 4 to 128 µg/mL as the range compared (Section 9).</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(17, 18). It was the only deposit found carrying all three fields the boundaries require, and no boundary, threshold or modelling choice in this paper was informed by it; it is used nowhere else in the paper except to confirm them (Section 8).</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(11, 41). The ciprofloxacin MIC, determined by CLSI reference broth microdilution (41, 42), was 0.008 mg/L, within the CLSI quality-control range for this strain (42);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11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15).</w:t>
      </w:r>
    </w:p>
    <w:p>
      <w:r>
        <w:rPr>
          <w:b/>
        </w:rPr>
        <w:t>Table 15.</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S7).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S13). Each below-limit flag in the six-laboratory deposit is judged against its own plated volume's floor rather than pooled to the least sensitive volume, since pooling would discard genuine quantified counts a more sensitive plating of the same sample recorded (Table 15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2):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S14).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(43); a censored reading contributes log Φ((limit − µ)/σ), the probability it fell below its own limit (Beal's M3 written for this assay (44)). As a computational consistency check, 50 imputed datasets were generated from the fitted truncated-normal distribution, analysed by ordinary least squares, and pooled using Rubin's rules (45);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(46), with starting density as a prespecified covariate; proportional odds was tested by a Brant test per predictor (47) and a likelihood-ratio test against a generalised ordered logit (48), with the partial-proportional-odds fit reported where it fails and checked against a multinomial fit assuming no ordering (Table S2).</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(31) are reported alongside Kaplan–Meier (49) and Cox proportional hazards (50) as descriptive summaries, with cluster bootstraps over laboratories and flasks (51) in place of the partial likelihood's independence assumption, and proportionality tested on Schoenfeld residuals (52, 53).</w:t>
      </w:r>
    </w:p>
    <w:p>
      <w:r>
        <w:rPr>
          <w:b/>
        </w:rPr>
        <w:t>The replicate-level bootstrap</w:t>
      </w:r>
      <w:r>
        <w:t xml:space="preserve"> (54)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(55),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(56, 57),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5):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(58)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(59), scipy 1.18.0 (60), pandas 3.0.3 (61), statsmodels 0.15.0 (62) and lifelines 0.30.3 (63).</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1 and cited alongside the article that first described it: Vijay and colleagues (6, 12), van Wijk and colleagues (7, 13), Windels and colleagues (16, 34), Kaur and colleagues (14, 15), and the hollow-fibre Source Data of Dubey and colleagues (17, 18),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(64),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9dbfe95+ of it.</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