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Results, Discussion and Conclusion</w:t>
      </w:r>
    </w:p>
    <w:p>
      <w:pPr>
        <w:spacing w:before="240"/>
      </w:pPr>
      <w:r>
        <w:rPr>
          <w:b/>
          <w:sz w:val="22"/>
        </w:rPr>
        <w:t>1. The plate's floor sets how far down killing can be seen</w:t>
      </w:r>
    </w:p>
    <w:p>
      <w:r>
        <w:t>Most-probable-number (MPN) readings take only the discrete values of an MPN table (5, 6),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 Every log10 here is computed from the raw MPN rungs against a floor of 23 per mL and rounded once, at the end, so the deepest headroom displays as 6.42 rather than as the 6.43 that 7.79 minus 1.36 returns; the fold figures quoted throughout are likewise ten raised to the unrounded difference.</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 Two of those 33 carry a fourth label the deposit writes literally as "MDR" (conventionally multidrug-resistant), unordered with respect to the other three, so no ordered analysis can place it (Table S2); over the 203 isolates with an ordered label the count is 31.</w:t>
      </w:r>
    </w:p>
    <w:p>
      <w:r>
        <w:t xml:space="preserve">All 33 are recorded as not having reached the endpoint, sitting at the </w:t>
      </w:r>
      <w:r>
        <w:rPr>
          <w:b/>
        </w:rPr>
        <w:t>assay ceiling</w:t>
      </w:r>
      <w:r>
        <w:t xml:space="preserve">, a census rather than an estimate. The ceiling is a different censoring mechanism from the floor: the floor censors the count (anything below </w:t>
      </w:r>
      <w:r>
        <w:rPr>
          <w:i/>
        </w:rPr>
        <w:t>L</w:t>
      </w:r>
      <w:r>
        <w:t xml:space="preserve"> is not reported as a count), the ceiling censors time (the assay runs six days, so an isolate that has not reached its endpoint by then is recorded at the last day rather than the day it would have reached). One sets how deep the assay can see, the other how long it looks. Among the 184 isolates that did have four logs of headroom, 162 are also at the ceiling, 88.0 per cent.</w:t>
      </w:r>
    </w:p>
    <w:p>
      <w:pPr>
        <w:spacing w:before="240"/>
      </w:pPr>
      <w:r>
        <w:rPr>
          <w:b/>
          <w:sz w:val="22"/>
        </w:rPr>
        <w:t>2. The same floor reading was given different tolerance labels</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S3). Usable means the 203 of 217 isolates whose label is one of the three ordered classes; the other 14 carry the "MDR" category, which no ordered analysis can place (Table S2).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affected isolates are named before the drug is added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That agreement is an identity rather than a passed test. Once the label is a cut on the recorded fraction (Table S3) and every floor reading has a numerator of exactly </w:t>
      </w:r>
      <w:r>
        <w:rPr>
          <w:i/>
        </w:rPr>
        <w:t>L</w:t>
      </w:r>
      <w:r>
        <w:t xml:space="preserve">, the class of a floored isolate is a function of </w:t>
      </w:r>
      <w:r>
        <w:rPr>
          <w:i/>
        </w:rPr>
        <w:t>N₀</w:t>
      </w:r>
      <w:r>
        <w:t xml:space="preserve"> alone, so the algebra cannot disagree with the deposit. What could have failed, and did not, is the premise: that the three classes separate cleanly on the recorded fraction at all, in 203 of 203 calls.</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The label tracks how fast an isolate grows, and its link to resistance cannot be separated from the inoculum</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The unadjusted 2.32 is the total effect of resistance on the label; the adjusted 1.31 is the controlled direct effect with the inoculum held fixed, under an assumption this deposit cannot test on its own, that starting density sits on the causal path as a mediator rather than beside it as a confounder. The reverse reading is equally available a priori: if slow growth both thins the inoculum and causes genuine tolerance, adjusting for starting density would remove real signal rather than a confounder (Discussion weighs the two readings against each other). What is not in question, whichever reading is right, is that the association weakens once starting density enters the model.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(7)),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One written protocol does not give every laboratory the same depth to look down</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(8, 9). It does.</w:t>
      </w:r>
    </w:p>
    <w:p>
      <w:r>
        <w:t>At ten times the minimum inhibitory concentration of moxifloxacin all six laboratories return a positive kill rate, spanning 5.2-fold, from 0.090 to 0.464 log10 CFU/mL per day. Across all 30 laboratory-by-arm cells the Tobit estimate and the imputation estimate never differ by more than 0.006 log10 per day (Fig. 2A, Table S5), which says the fit is not an artefact of the arithmetic used to reach it, not that the sub-floor assumption is safe: both estimators assume the same normal distribution below the floor, and nothing here can check that from the inside.</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same boundaries hold in an experiment the framework never saw</w:t>
      </w:r>
    </w:p>
    <w:p>
      <w:r>
        <w:t xml:space="preserve">Only one deposit was opened after every boundary and threshold was fixed. That it is </w:t>
      </w:r>
      <w:r>
        <w:rPr>
          <w:i/>
        </w:rPr>
        <w:t>E. coli</w:t>
      </w:r>
      <w:r>
        <w:t xml:space="preserve"> in a hollow-fibre system rather than </w:t>
      </w:r>
      <w:r>
        <w:rPr>
          <w:i/>
        </w:rPr>
        <w:t>M. tuberculosis</w:t>
      </w:r>
      <w:r>
        <w:t xml:space="preserve"> in a flask makes it a harder test, not a softer one: a rule fitted to tuberculosis time-kill data could be expected to fit more of it; what it has no right to survive is a different organism, drug class and apparatus. The boundaries are derived from definitions, so they predict they will.</w:t>
      </w:r>
    </w:p>
    <w:p>
      <w:r>
        <w:t xml:space="preserve">Dubey and colleagues (2026) report amoxicillin-clavulanate against </w:t>
      </w:r>
      <w:r>
        <w:rPr>
          <w:i/>
        </w:rPr>
        <w:t>Escherichia coli</w:t>
      </w:r>
      <w:r>
        <w:t xml:space="preserve"> in a hollow-fibre system (10, 11).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What the plate misses is not only what lies below its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(12).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(13), both dependent and independent differentially culturable populations are recovered from patients whose solid-medium cultures return nothing (14), and the mechanism has been reproduced experimentally, rifamycin action on ribonucleic acid (RNA) polymerase converting a starved population to over 90 per cent differentially detectable in vitro (15),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One culture, two plated volumes, two tolerance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It is </w:t>
      </w:r>
      <w:r>
        <w:rPr>
          <w:i/>
        </w:rPr>
        <w:t>Escherichia coli</w:t>
      </w:r>
      <w:r>
        <w:t xml:space="preserve"> and not </w:t>
      </w:r>
      <w:r>
        <w:rPr>
          <w:i/>
        </w:rPr>
        <w:t>M. tuberculosis</w:t>
      </w:r>
      <w:r>
        <w:t xml:space="preserve"> by design, not convenience. Reachability and identifiability are arithmetic on a plated volume, so they do not know what organism is on the plate; what an organism decides is whether the experiment can be run at all. Three seeding densities crossed with two plated volumes and six sampling times is 216 plates that must be counted from one exposure, and in </w:t>
      </w:r>
      <w:r>
        <w:rPr>
          <w:i/>
        </w:rPr>
        <w:t>M. tuberculosis</w:t>
      </w:r>
      <w:r>
        <w:t xml:space="preserve"> that means three to six weeks to colonies, inside containment, per replicate. Ciprofloxacin drives </w:t>
      </w:r>
      <w:r>
        <w:rPr>
          <w:i/>
        </w:rPr>
        <w:t>E. coli</w:t>
      </w:r>
      <w:r>
        <w:t xml:space="preserve"> to the floor within a working day, which makes the floor reachable in every arm and the prediction falsifiable in a week rather than a year. ATCC 25922 is the quality-control reference strain the standard itself names, so the demonstration runs in the one organism whose assay geometry the standard defines.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(16)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makes biological sense. Growth state predicts the tolerance class before and after adjustment for starting density (isoniazid needs KatG and active cell-wall synthesis (17), rifampicin needs transcription (18)), and a population that is not dividing offers less of what these drugs act on. The classification is reading physiological state, not drug susceptibility.</w:t>
      </w:r>
    </w:p>
    <w:p>
      <w:r>
        <w:t>That axis is the one tuberculosis drug development already leans on. Killing assays of this design rank regimens before they enter trials, and tolerance followed in patients is now being read as within-host evolution (19).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(20).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which does survive the correction is physiological state rather than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S1_survival_and_cox.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S1. The descriptive survival picture behind Figure 2.</w:t>
      </w:r>
      <w:r>
        <w:rPr>
          <w:sz w:val="20"/>
        </w:rPr>
        <w:t xml:space="preserve"> The same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Kaplan–Meier curves for time to the first observed crossing below the assay floor at the 100 µL plating. Three curves never descend: those laboratories recorded no flask below the floor in any arm at that plating, so their first-crossing times are right-censored throughout. (</w:t>
      </w:r>
      <w:r>
        <w:rPr>
          <w:b/>
          <w:sz w:val="20"/>
        </w:rPr>
        <w:t>B</w:t>
      </w:r>
      <w:r>
        <w:rPr>
          <w:sz w:val="20"/>
        </w:rPr>
        <w:t>) The model-based p-value attached to each laboratory in a descriptive Cox model before (grey) and after (arrow head) starting density is added, showing how far the two predictors overlap. Institute A is the reference, so the model carries five laboratory terms; four of them move toward p = 1 on adjustment (B from 0.093 to 0.264, D from 0.015 to 0.138, E from 0.016 to 0.172 and F from 0.015 to</w:t>
      </w:r>
    </w:p>
    <w:p>
      <w:pPr>
        <w:spacing w:line="240" w:lineRule="auto"/>
        <w:jc w:val="center"/>
      </w:pPr>
      <w:r>
        <w:drawing>
          <wp:inline xmlns:a="http://schemas.openxmlformats.org/drawingml/2006/main" xmlns:pic="http://schemas.openxmlformats.org/drawingml/2006/picture">
            <wp:extent cx="5486400" cy="5155678"/>
            <wp:docPr id="3" name="Picture 3"/>
            <wp:cNvGraphicFramePr>
              <a:graphicFrameLocks noChangeAspect="1"/>
            </wp:cNvGraphicFramePr>
            <a:graphic>
              <a:graphicData uri="http://schemas.openxmlformats.org/drawingml/2006/picture">
                <pic:pic>
                  <pic:nvPicPr>
                    <pic:cNvPr id="0" name="fig4_independence.png"/>
                    <pic:cNvPicPr/>
                  </pic:nvPicPr>
                  <pic:blipFill>
                    <a:blip r:embed="rId12"/>
                    <a:stretch>
                      <a:fillRect/>
                    </a:stretch>
                  </pic:blipFill>
                  <pic:spPr>
                    <a:xfrm>
                      <a:off x="0" y="0"/>
                      <a:ext cx="5486400" cy="5155678"/>
                    </a:xfrm>
                    <a:prstGeom prst="rect"/>
                  </pic:spPr>
                </pic:pic>
              </a:graphicData>
            </a:graphic>
          </wp:inline>
        </w:drawing>
      </w:r>
    </w:p>
    <w:p>
      <w:pPr>
        <w:spacing w:line="276" w:lineRule="auto" w:after="240"/>
      </w:pPr>
      <w:r>
        <w:rPr>
          <w:b/>
          <w:sz w:val="20"/>
        </w:rPr>
        <w:t>Figure S2. Resistance and tolerance occupy separate axes, in two designs.</w:t>
      </w:r>
      <w:r>
        <w:rPr>
          <w:sz w:val="20"/>
        </w:rPr>
        <w:t xml:space="preserve"> (</w:t>
      </w:r>
      <w:r>
        <w:rPr>
          <w:b/>
          <w:sz w:val="20"/>
        </w:rPr>
        <w:t>A</w:t>
      </w:r>
      <w:r>
        <w:rPr>
          <w:sz w:val="20"/>
        </w:rPr>
        <w:t>) All 24 comparisons between the concentration axis and the duration axis that the 217-isolate file supports, each against the Benjamini–Hochberg critical value it would have to beat. Amber marks the four reaching nominal significance; none survives. (</w:t>
      </w:r>
      <w:r>
        <w:rPr>
          <w:b/>
          <w:sz w:val="20"/>
        </w:rPr>
        <w:t>B</w:t>
      </w:r>
      <w:r>
        <w:rPr>
          <w:sz w:val="20"/>
        </w:rPr>
        <w:t>) The censoring behind them: the fraction of isolates at the assay ceiling rises with endpoint depth, and the nominal hits concentrate where censoring is heaviest. (</w:t>
      </w:r>
      <w:r>
        <w:rPr>
          <w:b/>
          <w:sz w:val="20"/>
        </w:rPr>
        <w:t>C</w:t>
      </w:r>
      <w:r>
        <w:rPr>
          <w:sz w:val="20"/>
        </w:rPr>
        <w:t xml:space="preserve">) The same question in 126 evolved </w:t>
      </w:r>
      <w:r>
        <w:rPr>
          <w:i/>
          <w:sz w:val="20"/>
        </w:rPr>
        <w:t>E. coli</w:t>
      </w:r>
      <w:r>
        <w:rPr>
          <w:sz w:val="20"/>
        </w:rPr>
        <w:t xml:space="preserve"> clones, by nutrient stratum.</w:t>
      </w:r>
    </w:p>
    <w:p>
      <w:pPr>
        <w:spacing w:line="240" w:lineRule="auto"/>
        <w:jc w:val="center"/>
      </w:pPr>
      <w:r>
        <w:drawing>
          <wp:inline xmlns:a="http://schemas.openxmlformats.org/drawingml/2006/main" xmlns:pic="http://schemas.openxmlformats.org/drawingml/2006/picture">
            <wp:extent cx="5486400" cy="4650059"/>
            <wp:docPr id="4" name="Picture 4"/>
            <wp:cNvGraphicFramePr>
              <a:graphicFrameLocks noChangeAspect="1"/>
            </wp:cNvGraphicFramePr>
            <a:graphic>
              <a:graphicData uri="http://schemas.openxmlformats.org/drawingml/2006/picture">
                <pic:pic>
                  <pic:nvPicPr>
                    <pic:cNvPr id="0" name="fig3_endpoint_collapse.png"/>
                    <pic:cNvPicPr/>
                  </pic:nvPicPr>
                  <pic:blipFill>
                    <a:blip r:embed="rId13"/>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w:t>
      </w:r>
    </w:p>
    <w:p>
      <w:pPr>
        <w:spacing w:line="240" w:lineRule="auto"/>
        <w:jc w:val="center"/>
      </w:pPr>
      <w:r>
        <w:drawing>
          <wp:inline xmlns:a="http://schemas.openxmlformats.org/drawingml/2006/main" xmlns:pic="http://schemas.openxmlformats.org/drawingml/2006/picture">
            <wp:extent cx="5486400" cy="4650059"/>
            <wp:docPr id="5" name="Picture 5"/>
            <wp:cNvGraphicFramePr>
              <a:graphicFrameLocks noChangeAspect="1"/>
            </wp:cNvGraphicFramePr>
            <a:graphic>
              <a:graphicData uri="http://schemas.openxmlformats.org/drawingml/2006/picture">
                <pic:pic>
                  <pic:nvPicPr>
                    <pic:cNvPr id="0" name="fig3_endpoint_collapse.png"/>
                    <pic:cNvPicPr/>
                  </pic:nvPicPr>
                  <pic:blipFill>
                    <a:blip r:embed="rId13"/>
                    <a:stretch>
                      <a:fillRect/>
                    </a:stretch>
                  </pic:blipFill>
                  <pic:spPr>
                    <a:xfrm>
                      <a:off x="0" y="0"/>
                      <a:ext cx="5486400" cy="4650059"/>
                    </a:xfrm>
                    <a:prstGeom prst="rect"/>
                  </pic:spPr>
                </pic:pic>
              </a:graphicData>
            </a:graphic>
          </wp:inline>
        </w:drawing>
      </w:r>
    </w:p>
    <w:p>
      <w:pPr>
        <w:spacing w:line="276" w:lineRule="auto" w:after="240"/>
      </w:pPr>
      <w:r>
        <w:rPr>
          <w:b/>
          <w:sz w:val="20"/>
        </w:rPr>
        <w:t>Figure S3. A late endpoint cannot resolve a 32-fold concentration range.</w:t>
      </w:r>
      <w:r>
        <w:rPr>
          <w:sz w:val="20"/>
        </w:rPr>
        <w:t xml:space="preserve"> Apramycin against </w:t>
      </w:r>
      <w:r>
        <w:rPr>
          <w:i/>
          <w:sz w:val="20"/>
        </w:rPr>
        <w:t>M. tuberculosis</w:t>
      </w:r>
      <w:r>
        <w:rPr>
          <w:sz w:val="20"/>
        </w:rPr>
        <w:t>, five concentrations, triplicate counts. (</w:t>
      </w:r>
      <w:r>
        <w:rPr>
          <w:b/>
          <w:sz w:val="20"/>
        </w:rPr>
        <w:t>A</w:t>
      </w:r>
      <w:r>
        <w:rPr>
          <w:sz w:val="20"/>
        </w:rPr>
        <w:t>) The trajectories, with an assumed floor of 100 CFU/mL (the value 10 µL plating would give), drawn as a band; this deposit records no plated volume, so the band is an assumption and is drawn to show what the assumption costs; by day 14 the highest arm lies within it, so its apparent rate over the final interval is a lower bound. (</w:t>
      </w:r>
      <w:r>
        <w:rPr>
          <w:b/>
          <w:sz w:val="20"/>
        </w:rPr>
        <w:t>B</w:t>
      </w:r>
      <w:r>
        <w:rPr>
          <w:sz w:val="20"/>
        </w:rPr>
        <w:t>) The ratio of survivors between the lowest and highest of the four compared concentrations, 4 and 128 µg/mL, at each sampling day, rising to 48.2-fold at day 7 and collapsing to 5.2-fold at day 14. (</w:t>
      </w:r>
      <w:r>
        <w:rPr>
          <w:b/>
          <w:sz w:val="20"/>
        </w:rPr>
        <w:t>C</w:t>
      </w:r>
      <w:r>
        <w:rPr>
          <w:sz w:val="20"/>
        </w:rPr>
        <w:t>) The concentration slope fitted separately in each interval from a replicate-level bootstrap, 20 000 draws.</w:t>
      </w:r>
    </w:p>
    <w:p>
      <w:pPr>
        <w:spacing w:line="240" w:lineRule="auto"/>
        <w:jc w:val="center"/>
      </w:pPr>
      <w:r>
        <w:drawing>
          <wp:inline xmlns:a="http://schemas.openxmlformats.org/drawingml/2006/main" xmlns:pic="http://schemas.openxmlformats.org/drawingml/2006/picture">
            <wp:extent cx="5486400" cy="5128137"/>
            <wp:docPr id="6" name="Picture 6"/>
            <wp:cNvGraphicFramePr>
              <a:graphicFrameLocks noChangeAspect="1"/>
            </wp:cNvGraphicFramePr>
            <a:graphic>
              <a:graphicData uri="http://schemas.openxmlformats.org/drawingml/2006/picture">
                <pic:pic>
                  <pic:nvPicPr>
                    <pic:cNvPr id="0" name="figS5_two_platings.png"/>
                    <pic:cNvPicPr/>
                  </pic:nvPicPr>
                  <pic:blipFill>
                    <a:blip r:embed="rId14"/>
                    <a:stretch>
                      <a:fillRect/>
                    </a:stretch>
                  </pic:blipFill>
                  <pic:spPr>
                    <a:xfrm>
                      <a:off x="0" y="0"/>
                      <a:ext cx="5486400" cy="5128137"/>
                    </a:xfrm>
                    <a:prstGeom prst="rect"/>
                  </pic:spPr>
                </pic:pic>
              </a:graphicData>
            </a:graphic>
          </wp:inline>
        </w:drawing>
      </w:r>
    </w:p>
    <w:p>
      <w:pPr>
        <w:spacing w:line="276" w:lineRule="auto" w:after="240"/>
      </w:pPr>
      <w:r>
        <w:rPr>
          <w:b/>
          <w:sz w:val="20"/>
        </w:rPr>
        <w:t>Figure S5. One culture, two plated volumes, two tolerance labels.</w:t>
      </w:r>
      <w:r>
        <w:rPr>
          <w:sz w:val="20"/>
        </w:rPr>
        <w:t xml:space="preserve"> The prospective experiment's standard-inoculum arm, three flasks, plated at 10 and 100 µL from the same dilution series. (</w:t>
      </w:r>
      <w:r>
        <w:rPr>
          <w:b/>
          <w:sz w:val="20"/>
        </w:rPr>
        <w:t>A</w:t>
      </w:r>
      <w:r>
        <w:rPr>
          <w:sz w:val="20"/>
        </w:rPr>
        <w:t>) Kill curves at both platings; filled points are measured counts, open points sit on the assay floor and are censored. (</w:t>
      </w:r>
      <w:r>
        <w:rPr>
          <w:b/>
          <w:sz w:val="20"/>
        </w:rPr>
        <w:t>B</w:t>
      </w:r>
      <w:r>
        <w:rPr>
          <w:sz w:val="20"/>
        </w:rPr>
        <w:t>) Headroom per flask at each plating against the four-log endpoint: every flask reaches it at 100 µL and falls short at 10 µL. (</w:t>
      </w:r>
      <w:r>
        <w:rPr>
          <w:b/>
          <w:sz w:val="20"/>
        </w:rPr>
        <w:t>C</w:t>
      </w:r>
      <w:r>
        <w:rPr>
          <w:sz w:val="20"/>
        </w:rPr>
        <w:t>) The threshold sweep behind Table S10: the share of sample-times at which the two platings' recorded fractions fall on opposite</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