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Rifampicin tolerance classification is bounded by assay detection floor among clinical Mycobacterium tuberculosis isolates</w:t>
      </w:r>
    </w:p>
    <w:p>
      <w:pPr>
        <w:spacing w:before="240"/>
      </w:pPr>
      <w:r>
        <w:rPr>
          <w:b/>
          <w:sz w:val="24"/>
        </w:rPr>
        <w:t>Abstract</w:t>
      </w:r>
    </w:p>
    <w:p>
      <w:r>
        <w:t xml:space="preserve">Time-kill assays are the standard method for evaluating antibiotic tolerance, but constraints from starting bacterial density and the assay's detection floor are frequently overlooked, causing systematic misclassification of bacterial survival. We show how an unreported detection floor structurally distorts rifampicin tolerance classification in </w:t>
      </w:r>
      <w:r>
        <w:rPr>
          <w:i/>
        </w:rPr>
        <w:t>Mycobacterium tuberculosis</w:t>
      </w:r>
      <w:r>
        <w:t>.</w:t>
      </w:r>
    </w:p>
    <w:p>
      <w:r>
        <w:t xml:space="preserve">We analyzed rifampicin tolerance against the assay's detection floor in 217 clinical </w:t>
      </w:r>
      <w:r>
        <w:rPr>
          <w:i/>
        </w:rPr>
        <w:t>M. tuberculosis</w:t>
      </w:r>
      <w:r>
        <w:t xml:space="preserve"> isolates, isoniazid-susceptible and isoniazid-resistant alike, and derived two boundaries from the assay's own definitions: a reachability boundary, below which starting density cannot mathematically support the assigned log reduction, and an identifiability boundary, below which a floor-level reading cannot be distinguished from a lower tolerance class. Both boundaries were then tested prospectively in </w:t>
      </w:r>
      <w:r>
        <w:rPr>
          <w:i/>
        </w:rPr>
        <w:t>Escherichia coli</w:t>
      </w:r>
      <w:r>
        <w:t>.</w:t>
      </w:r>
    </w:p>
    <w:p>
      <w:r>
        <w:t xml:space="preserve">The standard classification proved structurally compromised. Thirty-three of 217 isolates lacked the starting density needed to physically reach their assigned 99.99 percent reduction, and none of them did. Eighteen isolates ended the assay exactly at the detection floor; a third were compatible with more than one tolerance class, admitting no unique classification. These floor-level outcomes tracked growth rate, and isoniazid-resistant isolates, seeded at a tenfold lower starting density than susceptible ones, were disproportionately exposed to this artifact. The </w:t>
      </w:r>
      <w:r>
        <w:rPr>
          <w:i/>
        </w:rPr>
        <w:t>E. coli</w:t>
      </w:r>
      <w:r>
        <w:t xml:space="preserve"> experiment confirmed both boundaries outside </w:t>
      </w:r>
      <w:r>
        <w:rPr>
          <w:i/>
        </w:rPr>
        <w:t>M. tuberculosis</w:t>
      </w:r>
      <w:r>
        <w:t>: adjusting the plated volume alone assigned two conflicting tolerance labels to a single culture at six of 54 sample times.</w:t>
      </w:r>
    </w:p>
    <w:p>
      <w:r>
        <w:t>A rifampicin tolerance classification made without reporting starting density and detection floor is mathematically uninterpretable, and isoniazid-resistant tuberculosis, read at the edge of that floor, is where the distortion concentrates.</w:t>
      </w:r>
    </w:p>
    <w:p>
      <w:r>
        <w:rPr>
          <w:b/>
        </w:rPr>
        <w:t>Keywords:</w:t>
      </w:r>
      <w:r>
        <w:t xml:space="preserve"> time-kill assay; limit of quantification; minimum duration for killing; antibiotic tolerance; colony counting; censored data; </w:t>
      </w:r>
      <w:r>
        <w:rPr>
          <w:i/>
        </w:rPr>
        <w:t>Mycobacterium tuberculosis</w:t>
      </w:r>
    </w:p>
    <w:sectPr w:rsidR="00FC693F" w:rsidRPr="0006063C" w:rsidSect="00034616">
      <w:footerReference w:type="default" r:id="rId9"/>
      <w:pgSz w:w="12240" w:h="15840"/>
      <w:pgMar w:top="1440" w:right="1440" w:bottom="1440" w:left="1440"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