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Most-probable-number (MPN) readings take only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 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 Two of those 33 carry a fourth label the deposit writes literally as "MDR" (conventionally multidrug-resistant), unordered with respect to the other three, so no ordered analysis can place it (Table S2); over the 203 isolates with an ordered label the count is 31.</w:t>
      </w:r>
    </w:p>
    <w:p>
      <w:r>
        <w:t xml:space="preserve">All 33 are recorded as not having reached the endpoint, sitting at the </w:t>
      </w:r>
      <w:r>
        <w:rPr>
          <w:b/>
        </w:rPr>
        <w:t>assay ceiling</w:t>
      </w:r>
      <w:r>
        <w:t xml:space="preserve">, a census rather than an estimate. The ceiling is a different censoring mechanism from the floor: the floor censors the count (anything below </w:t>
      </w:r>
      <w:r>
        <w:rPr>
          <w:i/>
        </w:rPr>
        <w:t>L</w:t>
      </w:r>
      <w:r>
        <w:t xml:space="preserve"> is not reported as a count), the ceiling censors time (the assay runs six days, so an isolate that has not reached its endpoint by then is recorded at the last day rather than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S3). Usable means the 203 of 217 isolates whose label is one of the three ordered classes; the other 14 carry the "MDR" category, which no ordered analysis can place (Table S2).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Their starting densities span 265-fold, from 23,000 to 6.1 × 10⁶ per mL, so the same terminal reading implies a different range of compatible reductions in each: at least 3.00 log reduction for the isolate that began at 23,000, at least 5.42 logs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because that is what the ratio is.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affected isolates are named before the drug is added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The label tracks how fast an isolate grows, and its link to resistance cannot be separated from the inoculum</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(7)),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(8, 9). It does.</w:t>
      </w:r>
    </w:p>
    <w:p>
      <w:r>
        <w:t>At ten times the minimum inhibitory concentration of moxifloxacin all six laboratories return a positive kill rate, spanning 5.2-fold, from 0.090 to 0.464 log10 CFU/mL per day. Across all 30 laboratory-by-arm cells the Tobit estimate and the imputation estimate never differ by more than 0.006 log10 per day (Fig. 2A, Table S5), which says the fit is not an artefact of the arithmetic used to reach it, not that the sub-floor assumption is safe: both estimators assume the same normal distribution below the floor, and nothing here can check that from the inside.</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same boundaries hold in an experiment the framework never saw</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r>
        <w:t xml:space="preserve">Dubey and colleagues (2026) report amoxicillin-clavulanate against </w:t>
      </w:r>
      <w:r>
        <w:rPr>
          <w:i/>
        </w:rPr>
        <w:t>Escherichia coli</w:t>
      </w:r>
      <w:r>
        <w:t xml:space="preserve"> in a hollow-fibre system (10, 11).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7. What the plate misses is not only what lies below its floor</w:t>
      </w:r>
    </w:p>
    <w:p>
      <w:r>
        <w:t>Everything above is about the floor. One published observation in this organism shows that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(12).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xml:space="preserve"> with a literature of its own: resuscitation-promoting-factor-dependent bacilli dominate pre-treatment sputum and rise during chemotherapy (13), both dependent and independent differentially culturable populations are recovered from patients whose solid-medium cultures return nothing (14), and the mechanism has been reproduced experimentally, rifamycin action on ribonucleic acid (RNA) polymerase converting a starved population to over 90 per cent differentially detectable in vitro (15), the same drug class every arm of the Evangelopoulos regimen carries.</w:t>
      </w:r>
    </w:p>
    <w:p>
      <w:r>
        <w:t>Reachability and identifiability are arithmetic on the plated volume; they would hold in an assay with perfect culturability. Differential culturability is biology, acts on the numerator rather than the floor, and nothing here derives or measures it. Neither depends on the other, and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deposits reanalysed in this paper; they say the reachability problem is not a property of one clinical panel.</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not manufacture it. But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so where the deep endpoint is wanted, lower the assay floor instead;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Study design and data sources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(8, 9).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(Section 6).</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(10, 11). It was the only deposit found carrying all three fields the boundaries require, and no boundary, threshold or modelling choice in this paper was informed by it; it is used nowhere else in the paper except to confirm them (Text S3).</w:t>
      </w:r>
    </w:p>
    <w:p>
      <w:r>
        <w:t>Each dataset's organism, drug, design and licence is summarised in Table 1; the complete screening manifest and exclusion reasons accompany the analysis code.</w:t>
      </w:r>
    </w:p>
    <w:p>
      <w:pPr>
        <w:spacing w:before="240"/>
      </w:pPr>
      <w:r>
        <w:rPr>
          <w:b/>
          <w:sz w:val="22"/>
        </w:rPr>
        <w:t>Prospective experimental validation</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Assay floors and censoring</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Reachability and identifiability boundaries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(8, 9), Windels and colleagues (23, 24), Kaur and colleagues (25, 26), and the hollow-fibre Source Data of Dubey and colleagues (10, 11),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9ea20a9+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Mann HB, Whitney DR. 1947. On a test of whether one of two random variables is stochastically larger than the other. Ann Math Stat 18:50-60. https://doi.org/10.1214/aoms/1177730491.</w:t>
      </w:r>
    </w:p>
    <w:p>
      <w:r>
        <w:t xml:space="preserve">8.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9.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10.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11.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12.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13. Mukamolova GV, Turapov O, Malkin J, Woltmann G, Barer MR. 2010. Resuscitation-promoting factors reveal an occult population of tubercle bacilli in sputum. Am J Respir Crit Care Med 181:174-180. https://doi.org/10.1164/rccm.200905-0661OC.</w:t>
      </w:r>
    </w:p>
    <w:p>
      <w:r>
        <w:t>14.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15.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