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grow the organism, add the drug, and at set times dilute a sample, spread it on a plate, and count the colonies, each standing for one bacterium alive when it was plated,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(90, 99 or 99.99 per cent)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(the assay stopped looking)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one deciding whether an endpoint is reachable and the other whether a floor-level reading identifies a class, and both are computed from quantities a time-kill protocol already records. Neither asks a laboratory to measure anything new.</w:t>
      </w:r>
    </w:p>
    <w:p>
      <w:r>
        <w:t xml:space="preserve">Answering that question at all requires deposits that record the three quantities the arithmetic needs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(3.36 to 7.79 log10),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(15.2 per cent)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sitting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colony count, a molecular bacterial load from 16S rRNA, and a most probable number,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(a fit that treats a below-floor reading as below the floor rather than as a number)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(the starting densities that decide whether an endpoint is reachable and a label means anything), with its predictions written down before a plate was counted. </w:t>
      </w:r>
      <w:r>
        <w:rPr>
          <w:i/>
        </w:rPr>
        <w:t>Escherichia coli</w:t>
      </w:r>
      <w:r>
        <w:t xml:space="preserve"> ATCC 25922, of the American Type Culture Collection (the reference strain the standard names for quality control),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(each flask's own ceiling, not the drug's),</w:t>
      </w:r>
      <w:r>
        <w:t xml:space="preserve">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(two different floors over one starting density),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resistant against susceptible isolates,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(organism, media, neutralisation, raw counts)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Study design and data sources</w:t>
      </w:r>
    </w:p>
    <w:p>
      <w:r>
        <w:t xml:space="preserve">This study combined mathematical derivation, analysis of five public datasets, and a prospective </w:t>
      </w:r>
      <w:r>
        <w:rPr>
          <w:i/>
        </w:rPr>
        <w:t>Escherichia coli</w:t>
      </w:r>
      <w:r>
        <w:t xml:space="preserve"> experiment to examine how assay floors constrain antibiotic-tolerance endpoints.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deposits carried enough information to compute both boundaries at all, and five carried the complete set of fields the full analysis requires (Table 3,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(12, 13).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(14, 15). It was the only deposit found carrying all three fields the boundaries require, and no boundary, threshold or modelling choice in this paper was informed by it; it is used nowhere else in the paper except to confirm them (Section 7).</w:t>
      </w:r>
    </w:p>
    <w:p>
      <w:r>
        <w:t>Each dataset's organism, drug, design and licence is summarised in Table 1; the complete screening manifest and exclusion reasons accompany the analysis code.</w:t>
      </w:r>
    </w:p>
    <w:p>
      <w:pPr>
        <w:spacing w:before="240"/>
      </w:pPr>
      <w:r>
        <w:rPr>
          <w:b/>
          <w:sz w:val="22"/>
        </w:rPr>
        <w:t>Prospective experimental validation</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Assay floors and censoring</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S13).</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S14).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S15). Each below-limit flag in the six-laboratory deposit is judged against its own plated volume's floor rather than pooled to the least sensitive volume, since pooling would discard genuine quantified counts a more sensitive plating of the same sample recorded (Table S13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S16):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S12). The refusal holds across both well designs, both floor readings and two priors.</w:t>
      </w:r>
    </w:p>
    <w:p>
      <w:pPr>
        <w:spacing w:before="240"/>
      </w:pPr>
      <w:r>
        <w:rPr>
          <w:b/>
          <w:sz w:val="22"/>
        </w:rPr>
        <w:t>Reachability and identifiability boundaries</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(29); a censored reading contributes log Φ((limit − µ)/σ), the probability it fell below its own limit (Beal's M3 written for this assay (30)). As a computational consistency check, 50 imputed datasets were generated from the fitted truncated-normal distribution, analysed by ordinary least squares, and pooled using Rubin's rules (31);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(32), with starting density as a prespecified covariate; proportional odds was tested by a Brant test per predictor (33) and a likelihood-ratio test against a generalised ordered logit (34), with the partial-proportional-odds fit reported where it fails and checked against a multinomial fit assuming no ordering (Table S17).</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(35) are reported alongside Kaplan–Meier (36) and Cox proportional hazards (37) as descriptive summaries, with cluster bootstraps over laboratories and flasks (38) in place of the partial likelihood's independence assumption, and proportionality tested on Schoenfeld residuals (39, 40).</w:t>
      </w:r>
    </w:p>
    <w:p>
      <w:r>
        <w:rPr>
          <w:b/>
        </w:rPr>
        <w:t>The replicate-level bootstrap</w:t>
      </w:r>
      <w:r>
        <w:t xml:space="preserve"> (41) behind interval slopes resamples the three replicate counts with replacement, takes their mean, refits the concentration slope on each draw, and takes percentile intervals from 20,000 draws, reported instead of the least-squares fit through the deposited concentration means, which has two residual degrees of freedom and discards the replicate scatter. An interval on a proportion is the Jeffreys interval (42),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(43, 44),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S2):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S18).</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(45)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(46), scipy 1.18.0 (47), pandas 3.0.3 (48), statsmodels 0.15.0 (49) and lifelines 0.30.3 (50).</w:t>
      </w:r>
    </w:p>
    <w:p>
      <w:pPr>
        <w:spacing w:before="240"/>
      </w:pPr>
      <w:r>
        <w:rPr>
          <w:b/>
          <w:sz w:val="22"/>
        </w:rPr>
        <w:t>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9dbfe95+ of it.</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Tobin J. 1958. Estimation of relationships for limited dependent variables. Econometrica 26:24. https://doi.org/10.2307/1907382.</w:t>
      </w:r>
    </w:p>
    <w:p>
      <w:r>
        <w:t>30. Beal SL. 2001. Ways to fit a PK model with some data below the quantification limit. J Pharmacokinet Pharmacodyn 28:481-504. https://doi.org/10.1023/A:1012299115260.</w:t>
      </w:r>
    </w:p>
    <w:p>
      <w:r>
        <w:t>31. Rubin DB. 1987. Multiple imputation for nonresponse in surveys. John Wiley &amp; Sons, New York, NY. https://doi.org/10.1002/9780470316696.</w:t>
      </w:r>
    </w:p>
    <w:p>
      <w:r>
        <w:t>32. McCullagh P. 1980. Regression models for ordinal data. J R Stat Soc Series B Stat Methodol 42:109-127. https://doi.org/10.1111/j.2517-6161.1980.tb01109.x.</w:t>
      </w:r>
    </w:p>
    <w:p>
      <w:r>
        <w:t>33. Brant R. 1990. Assessing proportionality in the proportional odds model for ordinal logistic regression. Biometrics 46:1171-1178.</w:t>
      </w:r>
    </w:p>
    <w:p>
      <w:r>
        <w:t>34. Peterson B, Harrell FE Jr. 1990. Partial proportional odds models for ordinal response variables. J R Stat Soc Ser C Appl Stat 39:205. https://doi.org/10.2307/2347760.</w:t>
      </w:r>
    </w:p>
    <w:p>
      <w:r>
        <w:t>35. Turnbull BW. 1976. The empirical distribution function with arbitrarily grouped, censored and truncated data. J R Stat Soc Series B Stat Methodol 38:290-295. https://doi.org/10.1111/j.2517-6161.1976.tb01597.x.</w:t>
      </w:r>
    </w:p>
    <w:p>
      <w:r>
        <w:t>36. Kaplan EL, Meier P. 1958. Nonparametric estimation from incomplete observations. J Am Stat Assoc 53:457-481. https://doi.org/10.1080/01621459.1958.10501452.</w:t>
      </w:r>
    </w:p>
    <w:p>
      <w:r>
        <w:t>37. Cox DR. 1972. Regression models and life-tables. J R Stat Soc Series B Stat Methodol 34:187-202. https://doi.org/10.1111/j.2517-6161.1972.tb00899.x.</w:t>
      </w:r>
    </w:p>
    <w:p>
      <w:r>
        <w:t>38. Field CA, Welsh AH. 2007. Bootstrapping clustered data. J R Stat Soc Series B Stat Methodol 69:369-390. https://doi.org/10.1111/j.1467-9868.2007.00593.x.</w:t>
      </w:r>
    </w:p>
    <w:p>
      <w:r>
        <w:t>39. Schoenfeld D. 1982. Partial residuals for the proportional hazards regression model. Biometrika 69:239-241. https://doi.org/10.1093/biomet/69.1.239.</w:t>
      </w:r>
    </w:p>
    <w:p>
      <w:r>
        <w:t>40. Grambsch PM, Therneau TM. 1994. Proportional hazards tests and diagnostics based on weighted residuals. Biometrika 81:515-526. https://doi.org/10.1093/biomet/81.3.515.</w:t>
      </w:r>
    </w:p>
    <w:p>
      <w:r>
        <w:t>41. Efron B. 1979. Bootstrap methods: another look at the jackknife. Ann Stat 7:1-26. https://doi.org/10.1214/aos/1176344552.</w:t>
      </w:r>
    </w:p>
    <w:p>
      <w:r>
        <w:t>42. Brown LD, Cai TT, DasGupta A. 2001. Interval estimation for a binomial proportion. Stat Sci 16:101-133. https://doi.org/10.1214/ss/1009213286.</w:t>
      </w:r>
    </w:p>
    <w:p>
      <w:r>
        <w:t>43. Imai K, Keele L, Yamamoto T. 2010. Identification, inference and sensitivity analysis for causal mediation effects. Stat Sci 25:51-71. https://doi.org/10.1214/10-STS321.</w:t>
      </w:r>
    </w:p>
    <w:p>
      <w:r>
        <w:t>44. Baron RM, Kenny DA. 1986. The moderator-mediator variable distinction in social psychological research: conceptual, strategic, and statistical considerations. J Pers Soc Psychol 51:1173-1182. https://doi.org/10.1037/0022-3514.51.6.1173.</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