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That endpoint is a fraction of the starting count, so the starting count should cancel, and in the definition it does. It stops cancelling once killing reaches the lowest density the assay can report, because the recorded fraction is then the assay floor divided by the starting density, and the drug has dropped out of it.</w:t>
      </w:r>
    </w:p>
    <w:p>
      <w:r>
        <w:t xml:space="preserve">Two boundaries follow from the definitions alone. For an assay floor </w:t>
      </w:r>
      <w:r>
        <w:rPr>
          <w:i/>
        </w:rPr>
        <w:t>L</w:t>
      </w:r>
      <w:r>
        <w:t xml:space="preserve">, a </w:t>
      </w:r>
      <w:r>
        <w:rPr>
          <w:i/>
        </w:rPr>
        <w:t>q</w:t>
      </w:r>
      <w:r>
        <w:t xml:space="preserve">-log endpoint is observable only in cultures started above </w:t>
      </w:r>
      <w:r>
        <w:rPr>
          <w:i/>
        </w:rPr>
        <w:t>L</w:t>
      </w:r>
      <w:r>
        <w:t>·10^</w:t>
      </w:r>
      <w:r>
        <w:rPr>
          <w:i/>
        </w:rPr>
        <w:t>q</w:t>
      </w:r>
      <w:r>
        <w:t xml:space="preserve">; that is reachability. Above </w:t>
      </w:r>
      <w:r>
        <w:rPr>
          <w:i/>
        </w:rPr>
        <w:t>L</w:t>
      </w:r>
      <w:r>
        <w:t>/</w:t>
      </w:r>
      <w:r>
        <w:rPr>
          <w:i/>
        </w:rPr>
        <w:t>c</w:t>
      </w:r>
      <w:r>
        <w:t xml:space="preserve">₁, with </w:t>
      </w:r>
      <w:r>
        <w:rPr>
          <w:i/>
        </w:rPr>
        <w:t>c</w:t>
      </w:r>
      <w:r>
        <w:t>₁ the lowest class threshold, a reading resting on the floor is compatible with only the lowest tolerance class, whatever the drug did; that is identifiability. Reaching the floor is the drug's doing; the label it permits is not.</w:t>
      </w:r>
    </w:p>
    <w:p>
      <w:r>
        <w:t>Seventy-eight published time-kill datasets were assembled and 45 inspected in full; of the 40 distinct literature deposits among them, 32 state no assay floor by any route. Five are reanalysed here — the floor derived in two, inferred in one and absent in two — and one new experiment tests both boundaries forward.</w:t>
      </w:r>
    </w:p>
    <w:p>
      <w:r>
        <w:t xml:space="preserve">Of 217 </w:t>
      </w:r>
      <w:r>
        <w:rPr>
          <w:i/>
        </w:rPr>
        <w:t>Mycobacterium tuberculosis</w:t>
      </w:r>
      <w:r>
        <w:t xml:space="preserve"> isolates classified for rifampicin tolerance, 33 began too close to the floor to show the 99.99 per cent reduction the classification is cut on, and all 33 are recorded as failing to reach it. Eighteen ended with their reading on the floor: twelve admit one tolerance class, six admit two. The label tracks how fast an isolate grows; it also tracks isoniazid resistance, but most of that runs through the starting density, which is ten-fold lower in the resistant isolates.</w:t>
      </w:r>
    </w:p>
    <w:p>
      <w:r>
        <w:t xml:space="preserve">Prospectively, </w:t>
      </w:r>
      <w:r>
        <w:rPr>
          <w:i/>
        </w:rPr>
        <w:t>Escherichia coli</w:t>
      </w:r>
      <w:r>
        <w:t xml:space="preserve"> ATCC 25922 at the standard inoculum could report 3.71 to 3.93 logs of killing at a 10 µL plating and 4.88 to 5.05 at 100 µL in the same cultures; at a cut of 10⁻³, six of 54 sample-times took two labels from one culture, the plated volume deciding. Across the volumes these laboratories actually plate, 100 down to 2.5 µL, demonstrable depth moves by 1.60 log10 as exact arithmetic. A tolerance call reported without its starting density and its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r>
        <w:rPr>
          <w:i/>
        </w:rPr>
        <w:t>The condensed account. The full account, with every estimator and every sensitivity analysis, is Supplementary Methods in the supplemental file.</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Use of generative artificial intelligence</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22),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(27),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9edf230+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14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(24)</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23.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25. Kaur P. 2024. Apramycin kills replicating and non-replicating </w:t>
      </w:r>
      <w:r>
        <w:rPr>
          <w:i/>
        </w:rPr>
        <w:t>Mycobacterium tuberculosis</w:t>
      </w:r>
      <w:r>
        <w:t xml:space="preserve"> — raw data. figshare. https://doi.org/10.6084/m9.figshare.26462791.v1.</w:t>
      </w:r>
    </w:p>
    <w:p>
      <w:r>
        <w:t xml:space="preserve">26. Kaur P, Ramya VK, Naveenkumar CN, Bharathkumar K, Singh M, Hobbie SN, Shandil RK, Narayanan S. 2024. Apramycin kills replicating and non-replicating </w:t>
      </w:r>
      <w:r>
        <w:rPr>
          <w:i/>
        </w:rPr>
        <w:t>Mycobacterium tuberculosis</w:t>
      </w:r>
      <w:r>
        <w:t>. Front Trop Dis 5:1413211. https://doi.org/10.3389/fitd.2024.1413211.</w:t>
      </w:r>
    </w:p>
    <w:p>
      <w:r>
        <w:t>27.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