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Materials and Methods</w:t>
      </w:r>
    </w:p>
    <w:p>
      <w:pPr>
        <w:spacing w:before="240"/>
      </w:pPr>
      <w:r>
        <w:rPr>
          <w:b/>
          <w:sz w:val="22"/>
        </w:rPr>
        <w:t>A screen of 78 time-kill datasets for M. tuberculosis and E. coli assay floors</w:t>
      </w:r>
    </w:p>
    <w:p>
      <w:r>
        <w:t xml:space="preserve">This study combined mathematical derivation, analysis of five public datasets, and a prospective </w:t>
      </w:r>
      <w:r>
        <w:rPr>
          <w:i/>
        </w:rPr>
        <w:t>Escherichia coli</w:t>
      </w:r>
      <w:r>
        <w:t xml:space="preserve"> experiment to examine how assay floors constrain antibiotic-tolerance endpoints. We assembled 78 candidate time-kill datasets from the published literature (21 August – 8 September 2026) and screened 45 of them field by field for the three quantities the two boundaries below require: a pre-treatment starting density, a longitudinal series of viable counts, and either a plated volume or a stated assay floor. Every inclusion and exclusion is recorded in a manifest deposited with the analysis code.</w:t>
      </w:r>
    </w:p>
    <w:p>
      <w:r>
        <w:t>Forty-one distinct records were inspected, one of them this paper's own prospective experiment. Of the 40 remaining literature deposits, 32 reported no assay floor by any route: no limit of detection, no limit of quantification, and no plated volume from which one could be derived. Eighteen deposits carried enough information to compute both boundaries at all, and five carried the complete set of fields the full analysis requires (Table 1, Figure S4). The full pipeline, from this screen through the prospective test of both boundaries, is summarised in Figure S6.</w:t>
      </w:r>
    </w:p>
    <w:p>
      <w:r>
        <w:t>These 78 candidates are a documented sample of the literature, assembled without a registered search protocol; the two boundaries are derived from definitions rather than estimated from the corpus's size, so a single deposit with a stated floor is enough to demonstrate them.</w:t>
      </w:r>
    </w:p>
    <w:p>
      <w:r>
        <w:t xml:space="preserve">Four datasets supported the empirical analyses. </w:t>
      </w:r>
      <w:r>
        <w:rPr>
          <w:b/>
        </w:rPr>
        <w:t>Clinical isolates with a deposited tolerance classification:</w:t>
      </w:r>
      <w:r>
        <w:t xml:space="preserve"> 217 </w:t>
      </w:r>
      <w:r>
        <w:rPr>
          <w:i/>
        </w:rPr>
        <w:t>M. tuberculosis</w:t>
      </w:r>
      <w:r>
        <w:t xml:space="preserve"> isolates assayed under rifampicin, each carrying a minimum inhibitory concentration, minimum durations for 90, 99 and 99.99 per cent killing at 15 and 60 days of prior culture, most probable number readings at days 0, 2 and 5, a growth-rate proxy, isoniazid susceptibility with the resistance mutation where present, and the authors' own tolerance level for each isolate (Vijay et al. 2024; eLife 93243 supplementary file 2) (12). Of the 217 rows, 43 are follow-up isolates from patients already represented, so a baseline-only stratum is analysed separately.</w:t>
      </w:r>
    </w:p>
    <w:p>
      <w:r>
        <w:rPr>
          <w:b/>
        </w:rPr>
        <w:t>The six-laboratory exercise:</w:t>
      </w:r>
      <w:r>
        <w:t xml:space="preserve"> </w:t>
      </w:r>
      <w:r>
        <w:rPr>
          <w:i/>
        </w:rPr>
        <w:t>M. tuberculosis</w:t>
      </w:r>
      <w:r>
        <w:t xml:space="preserve"> H37Rv from one stock, distributed with one written protocol to six blinded laboratories (van Wijk et al. 2023; figshare 19766083, CC BY 4.0) (7, 13). Moxifloxacin and isoniazid at one and ten times the minimum inhibitory concentration, three flasks per arm, each sample plated at four volumes: 100 µL quadruplicate, 10 µL as four drops, 10 µL as a single drop, and 2.5 µL as a single drop, giving three distinct floors spanning 1.60 log10 within a single flask-visit (8). The file holds 2,775 readings; the analysis set, after dropping unusable values and pre-treatment visits, is 2,580.</w:t>
      </w:r>
    </w:p>
    <w:p>
      <w:r>
        <w:rPr>
          <w:b/>
        </w:rPr>
        <w:t>Evolved clones:</w:t>
      </w:r>
      <w:r>
        <w:t xml:space="preserve"> 126 </w:t>
      </w:r>
      <w:r>
        <w:rPr>
          <w:i/>
        </w:rPr>
        <w:t>Escherichia coli</w:t>
      </w:r>
      <w:r>
        <w:t xml:space="preserve"> clones from a parallel evolution experiment under amikacin, each carrying an endpoint minimum inhibitory concentration and a persister fraction (Windels et al. 2024; Zenodo 10.5281/zenodo.7550302, CC BY 4.0) (16, 30). Six of its 595 surviving fractions are written as exact zeros with no named floor, so this deposit is one of two for which observability labels are refused.</w:t>
      </w:r>
    </w:p>
    <w:p>
      <w:r>
        <w:rPr>
          <w:b/>
        </w:rPr>
        <w:t>Concentration-by-time grid:</w:t>
      </w:r>
      <w:r>
        <w:t xml:space="preserve"> apramycin against </w:t>
      </w:r>
      <w:r>
        <w:rPr>
          <w:i/>
        </w:rPr>
        <w:t>M. tuberculosis</w:t>
      </w:r>
      <w:r>
        <w:t xml:space="preserve"> at 128, 32, 8, 4 and 1 µg/mL, triplicate log10 CFU at days 0, 3, 7 and 14 (Kaur et al. 2024; figshare 26462791, CC BY 4.0) (14, 15). The 1 µg/mL arm shows net growth rather than killing and is excluded from the dose comparison, leaving 4 to 128 µg/mL as the range compared (Section 9).</w:t>
      </w:r>
    </w:p>
    <w:p>
      <w:r>
        <w:t xml:space="preserve">A fifth dataset was evaluated only after the boundaries, thresholds, and modelling choices had been fixed. </w:t>
      </w:r>
      <w:r>
        <w:rPr>
          <w:b/>
        </w:rPr>
        <w:t>Validation deposit:</w:t>
      </w:r>
      <w:r>
        <w:t xml:space="preserve"> amoxicillin- clavulanate against </w:t>
      </w:r>
      <w:r>
        <w:rPr>
          <w:i/>
        </w:rPr>
        <w:t>Escherichia coli</w:t>
      </w:r>
      <w:r>
        <w:t xml:space="preserve"> in a hollow-fibre infection model, with 100 µL plated, measured day-zero densities for every culture, and below-limit readings retained as a placeholder (Dubey et al. 2026; article Source Data, CC BY 4.0) (17, 18). It was the only deposit found carrying all three fields the boundaries require, and no boundary, threshold or modelling choice in this paper was informed by it; it is used nowhere else in the paper except to confirm them (Section 8).</w:t>
      </w:r>
    </w:p>
    <w:p>
      <w:r>
        <w:t>Each dataset's organism, drug, design and licence is summarised in Table 1; the complete screening manifest and exclusion reasons accompany the analysis code.</w:t>
      </w:r>
    </w:p>
    <w:p>
      <w:pPr>
        <w:spacing w:before="240"/>
      </w:pPr>
      <w:r>
        <w:rPr>
          <w:b/>
          <w:sz w:val="22"/>
        </w:rPr>
        <w:t>Prospective E. coli experiment designed to test the floor artifact</w:t>
      </w:r>
    </w:p>
    <w:p>
      <w:r>
        <w:t xml:space="preserve">An </w:t>
      </w:r>
      <w:r>
        <w:rPr>
          <w:i/>
        </w:rPr>
        <w:t>in vitro</w:t>
      </w:r>
      <w:r>
        <w:t xml:space="preserve"> experiment was designed to prospectively test both boundaries. Its design sheet, predictions and plate counts are one workbook, deposited with the analysis code, with every prediction written down before a plate was counted.</w:t>
      </w:r>
    </w:p>
    <w:p>
      <w:r>
        <w:rPr>
          <w:i/>
        </w:rPr>
        <w:t>Escherichia coli</w:t>
      </w:r>
      <w:r>
        <w:t xml:space="preserve"> ATCC 25922, the CLSI quality-control reference strain, was grown in cation-adjusted Mueller–Hinton broth and plated on Mueller–Hinton agar, incubated at 35 ± 2 °C in ambient air (11, 41). The ciprofloxacin MIC, determined by CLSI reference broth microdilution (41, 42), was 0.008 mg/L, within the CLSI quality-control range for this strain (42); the exposure was set at ten times it, 0.08 mg/L, chosen to kill deeply and fast enough that every arm reaches the floor within the sampling window.</w:t>
      </w:r>
    </w:p>
    <w:p>
      <w:r>
        <w:t xml:space="preserve">Three seeding arms were set so the four-log endpoint is unreachable in one, marginal in the second and comfortable in the third: targets of 5 × 10⁴, 5 × 10⁵ and 5 × 10⁶ CFU/mL (the middle arm the CLSI-specified inoculum), reaching 6.4 × 10⁴, 4.4 × 10⁵ and 3.8 × 10⁶ CFU/mL as measured from day-zero counts: headroom of 4.11, 4.94 and 5.88 logs at the pooled 100 µL floor, and 3.11, 3.94 and 4.88 logs at the pooled 10 µL floor, so the lowest arm is reachable for a four-log endpoint only at the deeper plating. Three flasks per arm were sampled at 0, 1, 2, 4, 6 and 24 h; at each time, one dilution series was plated at both 100 µL and 10 µL in duplicate, giving 216 plate readings in all. Viable density was </w:t>
      </w:r>
      <w:r>
        <w:rPr>
          <w:i/>
        </w:rPr>
        <w:t>N</w:t>
      </w:r>
      <w:r>
        <w:t xml:space="preserve"> = </w:t>
      </w:r>
      <w:r>
        <w:rPr>
          <w:i/>
        </w:rPr>
        <w:t>C</w:t>
      </w:r>
      <w:r>
        <w:t>·</w:t>
      </w:r>
      <w:r>
        <w:rPr>
          <w:i/>
        </w:rPr>
        <w:t>D</w:t>
      </w:r>
      <w:r>
        <w:t>·1000/</w:t>
      </w:r>
      <w:r>
        <w:rPr>
          <w:i/>
        </w:rPr>
        <w:t>V</w:t>
      </w:r>
      <w:r>
        <w:t xml:space="preserve"> for </w:t>
      </w:r>
      <w:r>
        <w:rPr>
          <w:i/>
        </w:rPr>
        <w:t>C</w:t>
      </w:r>
      <w:r>
        <w:t xml:space="preserve"> colonies counted at dilution factor </w:t>
      </w:r>
      <w:r>
        <w:rPr>
          <w:i/>
        </w:rPr>
        <w:t>D</w:t>
      </w:r>
      <w:r>
        <w:t xml:space="preserve"> and plated volume </w:t>
      </w:r>
      <w:r>
        <w:rPr>
          <w:i/>
        </w:rPr>
        <w:t>V</w:t>
      </w:r>
      <w:r>
        <w:t xml:space="preserve"> µL.</w:t>
      </w:r>
    </w:p>
    <w:p>
      <w:r>
        <w:t>No carryover control was run. Because the 100 µL plating carries ten times as much drug onto the plate as the 10 µL plating of the same sample, any carryover effect works against the depth advantage the 100 µL plating is reported to have, so the paired comparison in Section 11 is conservative with respect to it.</w:t>
      </w:r>
    </w:p>
    <w:p>
      <w:r>
        <w:rPr>
          <w:i/>
        </w:rPr>
        <w:t>L</w:t>
      </w:r>
      <w:r>
        <w:t xml:space="preserve"> is one colony in the volume plated, referred back to the undiluted sample. The two technical plates of a sample are pooled rather than averaged, so their volumes add and the floor is lower than a single plate's: 5 CFU/mL for a pooled 100 µL pair against 10 CFU/mL for one plate, and the two platings differ by exactly one log by construction. Headroom, censoring at the floor and the three tolerance classes are applied unchanged from the definitions below; class labels use the thresholds of the clinical deposit above, </w:t>
      </w:r>
      <w:r>
        <w:rPr>
          <w:i/>
        </w:rPr>
        <w:t>c</w:t>
      </w:r>
      <w:r>
        <w:t xml:space="preserve">₁ = 10⁻³ and </w:t>
      </w:r>
      <w:r>
        <w:rPr>
          <w:i/>
        </w:rPr>
        <w:t>c</w:t>
      </w:r>
      <w:r>
        <w:t>₂ = 10⁻², so the two experiments are scored on one rule.</w:t>
      </w:r>
    </w:p>
    <w:p>
      <w:pPr>
        <w:spacing w:before="240"/>
      </w:pPr>
      <w:r>
        <w:rPr>
          <w:b/>
          <w:sz w:val="22"/>
        </w:rPr>
        <w:t>Where rifampicin tolerance readings are censored by the assay floor</w:t>
      </w:r>
    </w:p>
    <w:p>
      <w:r>
        <w:t xml:space="preserve">No deposit analysed here reports a validated limit of quantification with a value. Throughout this paper </w:t>
      </w:r>
      <w:r>
        <w:rPr>
          <w:i/>
        </w:rPr>
        <w:t>L</w:t>
      </w:r>
      <w:r>
        <w:t xml:space="preserve"> is therefore an </w:t>
      </w:r>
      <w:r>
        <w:rPr>
          <w:b/>
        </w:rPr>
        <w:t>operational assay floor</w:t>
      </w:r>
      <w:r>
        <w:t xml:space="preserve">: where a plated volume is recorded it is the </w:t>
      </w:r>
      <w:r>
        <w:rPr>
          <w:b/>
        </w:rPr>
        <w:t>minimum reportable positive count</w:t>
      </w:r>
      <w:r>
        <w:t>, one colony in that volume; where none is recorded it is inferred from the deposit and labelled as such. The term limit of quantification is used only in reporting what a source states.</w:t>
      </w:r>
    </w:p>
    <w:p>
      <w:r>
        <w:t xml:space="preserve">In running text </w:t>
      </w:r>
      <w:r>
        <w:rPr>
          <w:i/>
        </w:rPr>
        <w:t>L</w:t>
      </w:r>
      <w:r>
        <w:t xml:space="preserve"> is the </w:t>
      </w:r>
      <w:r>
        <w:rPr>
          <w:b/>
        </w:rPr>
        <w:t>assay floor</w:t>
      </w:r>
      <w:r>
        <w:t xml:space="preserve">, and that is the only short form used, so that "boundary" is left free for the two derived boundaries of the next subsection and never denotes a value. The event a time-to-event analysis records is correspondingly a first observed crossing below the assay floor. What </w:t>
      </w:r>
      <w:r>
        <w:rPr>
          <w:i/>
        </w:rPr>
        <w:t>L</w:t>
      </w:r>
      <w:r>
        <w:t xml:space="preserve"> is in each deposit is tabulated deposit by deposit (Table 15).</w:t>
      </w:r>
    </w:p>
    <w:p>
      <w:r>
        <w:rPr>
          <w:b/>
        </w:rPr>
        <w:t>Table 15.</w:t>
      </w:r>
      <w:r>
        <w:t xml:space="preserve"> What the assay floor </w:t>
      </w:r>
      <w:r>
        <w:rPr>
          <w:i/>
        </w:rPr>
        <w:t>L</w:t>
      </w:r>
      <w:r>
        <w:t xml:space="preserve"> is in each deposit analysed.</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after="40"/>
            </w:pPr>
            <w:r>
              <w:rPr>
                <w:b/>
                <w:sz w:val="18"/>
              </w:rPr>
            </w:r>
            <w:r>
              <w:rPr>
                <w:b/>
                <w:sz w:val="18"/>
              </w:rPr>
              <w:t>Deposit</w:t>
            </w:r>
          </w:p>
        </w:tc>
        <w:tc>
          <w:tcPr>
            <w:tcW w:type="dxa" w:w="1337"/>
          </w:tcPr>
          <w:p>
            <w:pPr>
              <w:spacing w:line="240" w:lineRule="auto" w:after="40"/>
            </w:pPr>
            <w:r>
              <w:rPr>
                <w:b/>
                <w:sz w:val="18"/>
              </w:rPr>
            </w:r>
            <w:r>
              <w:rPr>
                <w:b/>
                <w:sz w:val="18"/>
              </w:rPr>
              <w:t>States an LOD</w:t>
            </w:r>
          </w:p>
        </w:tc>
        <w:tc>
          <w:tcPr>
            <w:tcW w:type="dxa" w:w="1337"/>
          </w:tcPr>
          <w:p>
            <w:pPr>
              <w:spacing w:line="240" w:lineRule="auto" w:after="40"/>
            </w:pPr>
            <w:r>
              <w:rPr>
                <w:b/>
                <w:sz w:val="18"/>
              </w:rPr>
            </w:r>
            <w:r>
              <w:rPr>
                <w:b/>
                <w:sz w:val="18"/>
              </w:rPr>
              <w:t>States an LOQ</w:t>
            </w:r>
          </w:p>
        </w:tc>
        <w:tc>
          <w:tcPr>
            <w:tcW w:type="dxa" w:w="1337"/>
          </w:tcPr>
          <w:p>
            <w:pPr>
              <w:spacing w:line="240" w:lineRule="auto" w:after="40"/>
            </w:pPr>
            <w:r>
              <w:rPr>
                <w:b/>
                <w:sz w:val="18"/>
              </w:rPr>
            </w:r>
            <w:r>
              <w:rPr>
                <w:b/>
                <w:sz w:val="18"/>
              </w:rPr>
              <w:t>Value used</w:t>
            </w:r>
          </w:p>
        </w:tc>
        <w:tc>
          <w:tcPr>
            <w:tcW w:type="dxa" w:w="1337"/>
          </w:tcPr>
          <w:p>
            <w:pPr>
              <w:spacing w:line="240" w:lineRule="auto" w:after="40"/>
            </w:pPr>
            <w:r>
              <w:rPr>
                <w:b/>
                <w:sz w:val="18"/>
              </w:rPr>
            </w:r>
            <w:r>
              <w:rPr>
                <w:b/>
                <w:sz w:val="18"/>
              </w:rPr>
              <w:t>Units</w:t>
            </w:r>
          </w:p>
        </w:tc>
        <w:tc>
          <w:tcPr>
            <w:tcW w:type="dxa" w:w="1337"/>
          </w:tcPr>
          <w:p>
            <w:pPr>
              <w:spacing w:line="240" w:lineRule="auto" w:after="40"/>
            </w:pPr>
            <w:r>
              <w:rPr>
                <w:b/>
                <w:sz w:val="18"/>
              </w:rPr>
            </w:r>
            <w:r>
              <w:rPr>
                <w:b/>
                <w:sz w:val="18"/>
              </w:rPr>
              <w:t>How obtained</w:t>
            </w:r>
          </w:p>
        </w:tc>
        <w:tc>
          <w:tcPr>
            <w:tcW w:type="dxa" w:w="1337"/>
          </w:tcPr>
          <w:p>
            <w:pPr>
              <w:spacing w:line="240" w:lineRule="auto" w:after="40"/>
            </w:pPr>
            <w:r>
              <w:rPr>
                <w:b/>
                <w:sz w:val="18"/>
              </w:rPr>
            </w:r>
            <w:r>
              <w:rPr>
                <w:b/>
                <w:sz w:val="18"/>
              </w:rPr>
              <w:t>What it should be called</w:t>
            </w:r>
          </w:p>
        </w:tc>
      </w:tr>
      <w:tr>
        <w:tc>
          <w:tcPr>
            <w:tcW w:type="dxa" w:w="1337"/>
          </w:tcPr>
          <w:p>
            <w:pPr>
              <w:spacing w:line="240" w:lineRule="auto" w:after="40"/>
            </w:pPr>
            <w:r>
              <w:rPr>
                <w:sz w:val="18"/>
              </w:rPr>
            </w:r>
            <w:r>
              <w:rPr>
                <w:sz w:val="18"/>
              </w:rPr>
              <w:t>Vijay 2024</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23</w:t>
            </w:r>
          </w:p>
        </w:tc>
        <w:tc>
          <w:tcPr>
            <w:tcW w:type="dxa" w:w="1337"/>
          </w:tcPr>
          <w:p>
            <w:pPr>
              <w:spacing w:line="240" w:lineRule="auto" w:after="40"/>
            </w:pPr>
            <w:r>
              <w:rPr>
                <w:sz w:val="18"/>
              </w:rPr>
            </w:r>
            <w:r>
              <w:rPr>
                <w:sz w:val="18"/>
              </w:rPr>
              <w:t>MPN per mL</w:t>
            </w:r>
          </w:p>
        </w:tc>
        <w:tc>
          <w:tcPr>
            <w:tcW w:type="dxa" w:w="1337"/>
          </w:tcPr>
          <w:p>
            <w:pPr>
              <w:spacing w:line="240" w:lineRule="auto" w:after="40"/>
            </w:pPr>
            <w:r>
              <w:rPr>
                <w:sz w:val="18"/>
              </w:rPr>
            </w:r>
            <w:r>
              <w:rPr>
                <w:sz w:val="18"/>
              </w:rPr>
              <w:t>INFERRED</w:t>
            </w:r>
          </w:p>
        </w:tc>
        <w:tc>
          <w:tcPr>
            <w:tcW w:type="dxa" w:w="1337"/>
          </w:tcPr>
          <w:p>
            <w:pPr>
              <w:spacing w:line="240" w:lineRule="auto" w:after="40"/>
            </w:pPr>
            <w:r>
              <w:rPr>
                <w:sz w:val="18"/>
              </w:rPr>
            </w:r>
            <w:r>
              <w:rPr>
                <w:sz w:val="18"/>
              </w:rPr>
              <w:t>operational assay floor</w:t>
            </w:r>
          </w:p>
        </w:tc>
      </w:tr>
      <w:tr>
        <w:tc>
          <w:tcPr>
            <w:tcW w:type="dxa" w:w="1337"/>
          </w:tcPr>
          <w:p>
            <w:pPr>
              <w:spacing w:line="240" w:lineRule="auto" w:after="40"/>
            </w:pPr>
            <w:r>
              <w:rPr>
                <w:sz w:val="18"/>
              </w:rPr>
            </w:r>
            <w:r>
              <w:rPr>
                <w:sz w:val="18"/>
              </w:rPr>
              <w:t>ERA4TB 2023</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term only</w:t>
            </w:r>
          </w:p>
        </w:tc>
        <w:tc>
          <w:tcPr>
            <w:tcW w:type="dxa" w:w="1337"/>
          </w:tcPr>
          <w:p>
            <w:pPr>
              <w:spacing w:line="240" w:lineRule="auto" w:after="40"/>
            </w:pPr>
            <w:r>
              <w:rPr>
                <w:sz w:val="18"/>
              </w:rPr>
            </w:r>
            <w:r>
              <w:rPr>
                <w:sz w:val="18"/>
              </w:rPr>
              <w:t>10, 100 and 400, per plated volume</w:t>
            </w:r>
          </w:p>
        </w:tc>
        <w:tc>
          <w:tcPr>
            <w:tcW w:type="dxa" w:w="1337"/>
          </w:tcPr>
          <w:p>
            <w:pPr>
              <w:spacing w:line="240" w:lineRule="auto" w:after="40"/>
            </w:pPr>
            <w:r>
              <w:rPr>
                <w:sz w:val="18"/>
              </w:rPr>
            </w:r>
            <w:r>
              <w:rPr>
                <w:sz w:val="18"/>
              </w:rPr>
              <w:t>CFU per mL</w:t>
            </w:r>
          </w:p>
        </w:tc>
        <w:tc>
          <w:tcPr>
            <w:tcW w:type="dxa" w:w="1337"/>
          </w:tcPr>
          <w:p>
            <w:pPr>
              <w:spacing w:line="240" w:lineRule="auto" w:after="40"/>
            </w:pPr>
            <w:r>
              <w:rPr>
                <w:sz w:val="18"/>
              </w:rPr>
            </w:r>
            <w:r>
              <w:rPr>
                <w:sz w:val="18"/>
              </w:rPr>
              <w:t>DERIVED</w:t>
            </w:r>
          </w:p>
        </w:tc>
        <w:tc>
          <w:tcPr>
            <w:tcW w:type="dxa" w:w="1337"/>
          </w:tcPr>
          <w:p>
            <w:pPr>
              <w:spacing w:line="240" w:lineRule="auto" w:after="40"/>
            </w:pPr>
            <w:r>
              <w:rPr>
                <w:sz w:val="18"/>
              </w:rPr>
            </w:r>
            <w:r>
              <w:rPr>
                <w:sz w:val="18"/>
              </w:rPr>
              <w:t>minimum reportable positive count</w:t>
            </w:r>
          </w:p>
        </w:tc>
      </w:tr>
      <w:tr>
        <w:tc>
          <w:tcPr>
            <w:tcW w:type="dxa" w:w="1337"/>
          </w:tcPr>
          <w:p>
            <w:pPr>
              <w:spacing w:line="240" w:lineRule="auto" w:after="40"/>
            </w:pPr>
            <w:r>
              <w:rPr>
                <w:sz w:val="18"/>
              </w:rPr>
            </w:r>
            <w:r>
              <w:rPr>
                <w:sz w:val="18"/>
              </w:rPr>
              <w:t>Windels 2024</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none; no value is recoverable</w:t>
            </w:r>
          </w:p>
        </w:tc>
        <w:tc>
          <w:tcPr>
            <w:tcW w:type="dxa" w:w="1337"/>
          </w:tcPr>
          <w:p>
            <w:pPr>
              <w:spacing w:line="240" w:lineRule="auto" w:after="40"/>
            </w:pPr>
            <w:r>
              <w:rPr>
                <w:sz w:val="18"/>
              </w:rPr>
            </w:r>
            <w:r>
              <w:rPr>
                <w:sz w:val="18"/>
              </w:rPr>
              <w:t>surviving fraction, dimensionless</w:t>
            </w:r>
          </w:p>
        </w:tc>
        <w:tc>
          <w:tcPr>
            <w:tcW w:type="dxa" w:w="1337"/>
          </w:tcPr>
          <w:p>
            <w:pPr>
              <w:spacing w:line="240" w:lineRule="auto" w:after="40"/>
            </w:pPr>
            <w:r>
              <w:rPr>
                <w:sz w:val="18"/>
              </w:rPr>
            </w:r>
            <w:r>
              <w:rPr>
                <w:sz w:val="18"/>
              </w:rPr>
              <w:t>FLAGGED</w:t>
            </w:r>
          </w:p>
        </w:tc>
        <w:tc>
          <w:tcPr>
            <w:tcW w:type="dxa" w:w="1337"/>
          </w:tcPr>
          <w:p>
            <w:pPr>
              <w:spacing w:line="240" w:lineRule="auto" w:after="40"/>
            </w:pPr>
            <w:r>
              <w:rPr>
                <w:sz w:val="18"/>
              </w:rPr>
            </w:r>
            <w:r>
              <w:rPr>
                <w:sz w:val="18"/>
              </w:rPr>
              <w:t>no floor is established; a below-limit reading is written as exact zero and fixes no value</w:t>
            </w:r>
          </w:p>
        </w:tc>
      </w:tr>
      <w:tr>
        <w:tc>
          <w:tcPr>
            <w:tcW w:type="dxa" w:w="1337"/>
          </w:tcPr>
          <w:p>
            <w:pPr>
              <w:spacing w:line="240" w:lineRule="auto" w:after="40"/>
            </w:pPr>
            <w:r>
              <w:rPr>
                <w:sz w:val="18"/>
              </w:rPr>
            </w:r>
            <w:r>
              <w:rPr>
                <w:sz w:val="18"/>
              </w:rPr>
              <w:t>Kaur 2024</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none; no floor is used</w:t>
            </w:r>
          </w:p>
        </w:tc>
        <w:tc>
          <w:tcPr>
            <w:tcW w:type="dxa" w:w="1337"/>
          </w:tcPr>
          <w:p>
            <w:pPr>
              <w:spacing w:line="240" w:lineRule="auto" w:after="40"/>
            </w:pPr>
            <w:r>
              <w:rPr>
                <w:sz w:val="18"/>
              </w:rPr>
            </w:r>
            <w:r>
              <w:rPr>
                <w:sz w:val="18"/>
              </w:rPr>
              <w:t>log10 CFU per mL</w:t>
            </w:r>
          </w:p>
        </w:tc>
        <w:tc>
          <w:tcPr>
            <w:tcW w:type="dxa" w:w="1337"/>
          </w:tcPr>
          <w:p>
            <w:pPr>
              <w:spacing w:line="240" w:lineRule="auto" w:after="40"/>
            </w:pPr>
            <w:r>
              <w:rPr>
                <w:sz w:val="18"/>
              </w:rPr>
            </w:r>
            <w:r>
              <w:rPr>
                <w:sz w:val="18"/>
              </w:rPr>
              <w:t>NONE</w:t>
            </w:r>
          </w:p>
        </w:tc>
        <w:tc>
          <w:tcPr>
            <w:tcW w:type="dxa" w:w="1337"/>
          </w:tcPr>
          <w:p>
            <w:pPr>
              <w:spacing w:line="240" w:lineRule="auto" w:after="40"/>
            </w:pPr>
            <w:r>
              <w:rPr>
                <w:sz w:val="18"/>
              </w:rPr>
            </w:r>
            <w:r>
              <w:rPr>
                <w:sz w:val="18"/>
              </w:rPr>
              <w:t>no floor is evidenced; the smallest reading is the smallest reading</w:t>
            </w:r>
          </w:p>
        </w:tc>
      </w:tr>
      <w:tr>
        <w:tc>
          <w:tcPr>
            <w:tcW w:type="dxa" w:w="1337"/>
          </w:tcPr>
          <w:p>
            <w:pPr>
              <w:spacing w:line="240" w:lineRule="auto" w:after="40"/>
            </w:pPr>
            <w:r>
              <w:rPr>
                <w:sz w:val="18"/>
              </w:rPr>
            </w:r>
            <w:r>
              <w:rPr>
                <w:sz w:val="18"/>
              </w:rPr>
              <w:t>Dubey 2026</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no</w:t>
            </w:r>
          </w:p>
        </w:tc>
        <w:tc>
          <w:tcPr>
            <w:tcW w:type="dxa" w:w="1337"/>
          </w:tcPr>
          <w:p>
            <w:pPr>
              <w:spacing w:line="240" w:lineRule="auto" w:after="40"/>
            </w:pPr>
            <w:r>
              <w:rPr>
                <w:sz w:val="18"/>
              </w:rPr>
            </w:r>
            <w:r>
              <w:rPr>
                <w:sz w:val="18"/>
              </w:rPr>
              <w:t>10</w:t>
            </w:r>
          </w:p>
        </w:tc>
        <w:tc>
          <w:tcPr>
            <w:tcW w:type="dxa" w:w="1337"/>
          </w:tcPr>
          <w:p>
            <w:pPr>
              <w:spacing w:line="240" w:lineRule="auto" w:after="40"/>
            </w:pPr>
            <w:r>
              <w:rPr>
                <w:sz w:val="18"/>
              </w:rPr>
            </w:r>
            <w:r>
              <w:rPr>
                <w:sz w:val="18"/>
              </w:rPr>
              <w:t>CFU per mL</w:t>
            </w:r>
          </w:p>
        </w:tc>
        <w:tc>
          <w:tcPr>
            <w:tcW w:type="dxa" w:w="1337"/>
          </w:tcPr>
          <w:p>
            <w:pPr>
              <w:spacing w:line="240" w:lineRule="auto" w:after="40"/>
            </w:pPr>
            <w:r>
              <w:rPr>
                <w:sz w:val="18"/>
              </w:rPr>
            </w:r>
            <w:r>
              <w:rPr>
                <w:sz w:val="18"/>
              </w:rPr>
              <w:t>DERIVED</w:t>
            </w:r>
          </w:p>
        </w:tc>
        <w:tc>
          <w:tcPr>
            <w:tcW w:type="dxa" w:w="1337"/>
          </w:tcPr>
          <w:p>
            <w:pPr>
              <w:spacing w:line="240" w:lineRule="auto" w:after="40"/>
            </w:pPr>
            <w:r>
              <w:rPr>
                <w:sz w:val="18"/>
              </w:rPr>
            </w:r>
            <w:r>
              <w:rPr>
                <w:sz w:val="18"/>
              </w:rPr>
              <w:t>minimum reportable positive count</w:t>
            </w:r>
          </w:p>
        </w:tc>
      </w:tr>
    </w:tbl>
    <w:p/>
    <w:p>
      <w:r>
        <w:rPr>
          <w:i/>
        </w:rPr>
        <w:t>Note.</w:t>
      </w:r>
      <w:r>
        <w:t xml:space="preserve"> Verdict follows the two kinds of limit defined in Methods: DERIVED means the value follows arithmetically from a recorded plated volume; INFERRED means it was read off the deposit's own behaviour and is labelled as inferred wherever it is used; NONE means no floor is evidenced and none is assumed; FLAGGED means the deposit marks below-limit readings without naming a value, which fixes no floor either.</w:t>
      </w:r>
    </w:p>
    <w:p>
      <w:r>
        <w:t xml:space="preserve">Two censoring problems are handled separately. A </w:t>
      </w:r>
      <w:r>
        <w:rPr>
          <w:b/>
        </w:rPr>
        <w:t>count below the assay floor</w:t>
      </w:r>
      <w:r>
        <w:t xml:space="preserve"> is left-censored: the population is somewhere below a known value. In the clinical deposit the floor is inferred at 23 MPN/mL from three signatures: it is the smallest value in the file, nothing lies below it in 1,932 readings, and the minimum shifts by exactly a factor of ten per culture age; the conclusions drawn from it hold across the full range the deposit's own MPN table admits (Table S7). A </w:t>
      </w:r>
      <w:r>
        <w:rPr>
          <w:b/>
        </w:rPr>
        <w:t>crossing time not observed within the study</w:t>
      </w:r>
      <w:r>
        <w:t xml:space="preserve"> is right-censored: a flask that never falls below the floor contributes the information that its crossing time exceeds its last visit, and enters the survival likelihood as such rather than as missing.</w:t>
      </w:r>
    </w:p>
    <w:p>
      <w:r>
        <w:t xml:space="preserve">A volume-derived plate floor bounds the true count from above, [0, </w:t>
      </w:r>
      <w:r>
        <w:rPr>
          <w:i/>
        </w:rPr>
        <w:t>L</w:t>
      </w:r>
      <w:r>
        <w:t>]; an MPN rung does not, since its likelihood extends well above the rung. Every identifiability verdict was therefore recomputed under the assay's own likelihood rather than the plate-sweep bound, confirming the same classification under both treatments (Table S13). Each below-limit flag in the six-laboratory deposit is judged against its own plated volume's floor rather than pooled to the least sensitive volume, since pooling would discard genuine quantified counts a more sensitive plating of the same sample recorded (Table 15 note).</w:t>
      </w:r>
    </w:p>
    <w:p>
      <w:r>
        <w:t xml:space="preserve">A volume-derived floor is a point mass, with nothing to infer. A floor inferred from a pile-up on a most-probable-number rung carries a discrete posterior over the rungs at or below the observed minimum; the interval quoted is the 95 per cent highest-posterior-density support. Where no floor is evidenced, or the support spans more than one log10, observability labels are </w:t>
      </w:r>
      <w:r>
        <w:rPr>
          <w:b/>
        </w:rPr>
        <w:t>refused</w:t>
      </w:r>
      <w:r>
        <w:t xml:space="preserve"> rather than reported (Table 2): the clinical deposit passes this rule at 0.40 log10 of support, and two of the five deposits fail it. This paper fits nothing to predict an MDK: once </w:t>
      </w:r>
      <w:r>
        <w:rPr>
          <w:i/>
        </w:rPr>
        <w:t>L</w:t>
      </w:r>
      <w:r>
        <w:t xml:space="preserve"> is in hand the rest is derived.</w:t>
      </w:r>
    </w:p>
    <w:p>
      <w:r>
        <w:t>The same likelihood turns classification into an inference with its own refusal rule: given a floor reading, the posterior over the true count maps through starting density to a posterior over class, and an isolate is refused when no class reaches 95 per cent confidence (Table S14). The refusal holds across both well designs, both floor readings and two priors.</w:t>
      </w:r>
    </w:p>
    <w:p>
      <w:pPr>
        <w:spacing w:before="240"/>
      </w:pPr>
      <w:r>
        <w:rPr>
          <w:b/>
          <w:sz w:val="22"/>
        </w:rPr>
        <w:t>Two boundaries that predict which rifampicin tolerance calls are unreliable</w:t>
      </w:r>
    </w:p>
    <w:p>
      <w:r>
        <w:t xml:space="preserve">For a culture starting at </w:t>
      </w:r>
      <w:r>
        <w:rPr>
          <w:i/>
        </w:rPr>
        <w:t>N₀</w:t>
      </w:r>
      <w:r>
        <w:t xml:space="preserve"> against an assay floor </w:t>
      </w:r>
      <w:r>
        <w:rPr>
          <w:i/>
        </w:rPr>
        <w:t>L</w:t>
      </w:r>
      <w:r>
        <w:t xml:space="preserve">, the </w:t>
      </w:r>
      <w:r>
        <w:rPr>
          <w:b/>
        </w:rPr>
        <w:t>headroom</w:t>
      </w:r>
      <w:r>
        <w:t xml:space="preserve"> is </w:t>
      </w:r>
      <w:r>
        <w:rPr>
          <w:i/>
        </w:rPr>
        <w:t>h</w:t>
      </w:r>
      <w:r>
        <w:t xml:space="preserve"> = log10(</w:t>
      </w:r>
      <w:r>
        <w:rPr>
          <w:i/>
        </w:rPr>
        <w:t>N₀</w:t>
      </w:r>
      <w:r>
        <w:t>/</w:t>
      </w:r>
      <w:r>
        <w:rPr>
          <w:i/>
        </w:rPr>
        <w:t>L</w:t>
      </w:r>
      <w:r>
        <w:t>), the deepest reduction the assay can resolve. Two boundaries follow from the definitions alone.</w:t>
      </w:r>
    </w:p>
    <w:p>
      <w:r>
        <w:rPr>
          <w:b/>
        </w:rPr>
        <w:t>Reachability.</w:t>
      </w:r>
      <w:r>
        <w:t xml:space="preserve"> A </w:t>
      </w:r>
      <w:r>
        <w:rPr>
          <w:i/>
        </w:rPr>
        <w:t>q</w:t>
      </w:r>
      <w:r>
        <w:t>-log endpoint is observable only if</w:t>
      </w:r>
    </w:p>
    <w:p>
      <w:r>
        <w:rPr>
          <w:i/>
        </w:rPr>
        <w:t>N₀</w:t>
      </w:r>
      <w:r>
        <w:t xml:space="preserve"> ≥ </w:t>
      </w:r>
      <w:r>
        <w:rPr>
          <w:i/>
        </w:rPr>
        <w:t>N</w:t>
      </w:r>
      <w:r>
        <w:t xml:space="preserve">_reach = </w:t>
      </w:r>
      <w:r>
        <w:rPr>
          <w:i/>
        </w:rPr>
        <w:t>L</w:t>
      </w:r>
      <w:r>
        <w:t xml:space="preserve"> · 10^</w:t>
      </w:r>
      <w:r>
        <w:rPr>
          <w:i/>
        </w:rPr>
        <w:t>q</w:t>
      </w:r>
      <w:r>
        <w:t>.</w:t>
      </w:r>
    </w:p>
    <w:p>
      <w:r>
        <w:rPr>
          <w:b/>
        </w:rPr>
        <w:t>Identifiability.</w:t>
      </w:r>
      <w:r>
        <w:t xml:space="preserve"> A censored reading places the true count in [0, </w:t>
      </w:r>
      <w:r>
        <w:rPr>
          <w:i/>
        </w:rPr>
        <w:t>L</w:t>
      </w:r>
      <w:r>
        <w:t xml:space="preserve">], so the recorded surviving fraction is at most </w:t>
      </w:r>
      <w:r>
        <w:rPr>
          <w:i/>
        </w:rPr>
        <w:t>L</w:t>
      </w:r>
      <w:r>
        <w:t>/</w:t>
      </w:r>
      <w:r>
        <w:rPr>
          <w:i/>
        </w:rPr>
        <w:t>N₀</w:t>
      </w:r>
      <w:r>
        <w:t xml:space="preserve"> (an upper bound, not a measurement). Given class thresholds 0 &lt; </w:t>
      </w:r>
      <w:r>
        <w:rPr>
          <w:i/>
        </w:rPr>
        <w:t>c</w:t>
      </w:r>
      <w:r>
        <w:t xml:space="preserve">₁ &lt; </w:t>
      </w:r>
      <w:r>
        <w:rPr>
          <w:i/>
        </w:rPr>
        <w:t>c</w:t>
      </w:r>
      <w:r>
        <w:t>₂ …, the class is determined by the data only if</w:t>
      </w:r>
    </w:p>
    <w:p>
      <w:r>
        <w:rPr>
          <w:i/>
        </w:rPr>
        <w:t>N₀</w:t>
      </w:r>
      <w:r>
        <w:t xml:space="preserve"> &gt; </w:t>
      </w:r>
      <w:r>
        <w:rPr>
          <w:i/>
        </w:rPr>
        <w:t>N</w:t>
      </w:r>
      <w:r>
        <w:t xml:space="preserve">_id = </w:t>
      </w:r>
      <w:r>
        <w:rPr>
          <w:i/>
        </w:rPr>
        <w:t>L</w:t>
      </w:r>
      <w:r>
        <w:t>/</w:t>
      </w:r>
      <w:r>
        <w:rPr>
          <w:i/>
        </w:rPr>
        <w:t>c</w:t>
      </w:r>
      <w:r>
        <w:t>₁,</w:t>
      </w:r>
    </w:p>
    <w:p>
      <w:r>
        <w:t xml:space="preserve">since the censored interval always contains zero and so is only compatible with the lowest class above this point. Both boundaries are properties of the method alone; seeding a culture above </w:t>
      </w:r>
      <w:r>
        <w:rPr>
          <w:i/>
        </w:rPr>
        <w:t>L</w:t>
      </w:r>
      <w:r>
        <w:t xml:space="preserve"> · max(10^</w:t>
      </w:r>
      <w:r>
        <w:rPr>
          <w:i/>
        </w:rPr>
        <w:t>q</w:t>
      </w:r>
      <w:r>
        <w:t>, 1/</w:t>
      </w:r>
      <w:r>
        <w:rPr>
          <w:i/>
        </w:rPr>
        <w:t>c</w:t>
      </w:r>
      <w:r>
        <w:t>₁) makes both failure modes impossible before an experiment runs.</w:t>
      </w:r>
    </w:p>
    <w:p>
      <w:pPr>
        <w:spacing w:before="240"/>
      </w:pPr>
      <w:r>
        <w:rPr>
          <w:b/>
          <w:sz w:val="22"/>
        </w:rPr>
        <w:t>Statistical analysis</w:t>
      </w:r>
    </w:p>
    <w:p>
      <w:r>
        <w:t xml:space="preserve">Log10 viable counts were modelled as a linear function of time using a </w:t>
      </w:r>
      <w:r>
        <w:rPr>
          <w:b/>
        </w:rPr>
        <w:t>Tobit model</w:t>
      </w:r>
      <w:r>
        <w:t xml:space="preserve"> with observation-specific left-censoring limits, fitted by maximum likelihood (43); a censored reading contributes log Φ((limit − µ)/σ), the probability it fell below its own limit (Beal's M3 written for this assay (44)). As a computational consistency check, 50 imputed datasets were generated from the fitted truncated-normal distribution, analysed by ordinary least squares, and pooled using Rubin's rules (45); both procedures share the same distributional assumptions, and their agreement shows the answer does not depend on which arithmetic recovers it, not that the sub-floor distribution is normal.</w:t>
      </w:r>
    </w:p>
    <w:p>
      <w:r>
        <w:t xml:space="preserve">The growth proxy is the deposit's time to an optical density of 0.4, in days, so it runs inversely to growth rate. </w:t>
      </w:r>
      <w:r>
        <w:rPr>
          <w:b/>
        </w:rPr>
        <w:t>The tolerance label</w:t>
      </w:r>
      <w:r>
        <w:t xml:space="preserve"> was modelled as an ordered categorical outcome by proportional-odds ordinal logistic regression (46), with starting density as a prespecified covariate; proportional odds was tested by a Brant test per predictor (47) and a likelihood-ratio test against a generalised ordered logit (48), with the partial-proportional-odds fit reported where it fails and checked against a multinomial fit assuming no ordering (Table S2).</w:t>
      </w:r>
    </w:p>
    <w:p>
      <w:r>
        <w:rPr>
          <w:b/>
        </w:rPr>
        <w:t>Time-to-event analysis</w:t>
      </w:r>
      <w:r>
        <w:t xml:space="preserve"> treated the first observed crossing below the assay floor as the event, right-censoring series that never fall below it; 60 per cent of series that cross read above the floor again at a later visit, so the event is a crossing, not a clearance. The crossing time is interval-censored between the last visit above the floor and the first below it; interval-censored fits (27) are reported alongside Kaplan–Meier (49) and Cox proportional hazards (50) as descriptive summaries, with cluster bootstraps over laboratories and flasks (51) in place of the partial likelihood's independence assumption, and proportionality tested on Schoenfeld residuals (52, 53).</w:t>
      </w:r>
    </w:p>
    <w:p>
      <w:r>
        <w:rPr>
          <w:b/>
        </w:rPr>
        <w:t>The replicate-level bootstrap</w:t>
      </w:r>
      <w:r>
        <w:t xml:space="preserve"> (54) behind interval slopes resamples the three replicate counts with replacement, takes their mean, refits the concentration slope on each draw, and takes percentile intervals from 20,000 draws, reported instead of the least-squares fit through the deposited concentration means, which has two residual degrees of freedom and discards the replicate scatter. An interval on a proportion is the Jeffreys interval (55), which does not collapse to zero width at the sample sizes here.</w:t>
      </w:r>
    </w:p>
    <w:p>
      <w:r>
        <w:rPr>
          <w:b/>
        </w:rPr>
        <w:t>Causal mediation of the resistance association.</w:t>
      </w:r>
      <w:r>
        <w:t xml:space="preserve"> A linear product-of-coefficients mediation decomposes the total effect of isoniazid resistance on the day-5 tolerance class into an average causal mediation effect through log10 </w:t>
      </w:r>
      <w:r>
        <w:rPr>
          <w:i/>
        </w:rPr>
        <w:t>N₀</w:t>
      </w:r>
      <w:r>
        <w:t xml:space="preserve"> and an average direct effect (56, 57), with bootstrap percentile intervals from 5,000 resamples. A refit excludes the 18 of 203 isolates whose day-5 reading sits at or below the floor, since their recorded fraction carries no measured numerator. Sequential ignorability is assumed and untestable here; the sensitivity that matters is the residual correlation between mediator and outcome errors at which the point estimate crosses zero, about −0.23. No claim is made that unmeasured confounding is absent.</w:t>
      </w:r>
    </w:p>
    <w:p>
      <w:r>
        <w:rPr>
          <w:b/>
        </w:rPr>
        <w:t>Denominators.</w:t>
      </w:r>
      <w:r>
        <w:t xml:space="preserve"> A dozen denominators appear in this paper and each is derived in a single place (Table 5): the MDR tolerance label is dropped wherever an ordered outcome is fitted (14 rows per panel, 20 at 60 days), the growth proxy is missing for one isolate, and five of 72 treated flasks in the six-laboratory deposit carry no usable starting density. Dropped rows are compared with retained ones on starting density and susceptibility to test whether the exclusions are plausibly ignorable (Table S1).</w:t>
      </w:r>
    </w:p>
    <w:p>
      <w:r>
        <w:rPr>
          <w:b/>
        </w:rPr>
        <w:t>Decomposition of a crossing time.</w:t>
      </w:r>
      <w:r>
        <w:t xml:space="preserve"> Over an interval where the decline is close to log-linear, log10 </w:t>
      </w:r>
      <w:r>
        <w:rPr>
          <w:i/>
        </w:rPr>
        <w:t>N</w:t>
      </w:r>
      <w:r>
        <w:t>(</w:t>
      </w:r>
      <w:r>
        <w:rPr>
          <w:i/>
        </w:rPr>
        <w:t>t</w:t>
      </w:r>
      <w:r>
        <w:t xml:space="preserve">) = </w:t>
      </w:r>
      <w:r>
        <w:rPr>
          <w:i/>
        </w:rPr>
        <w:t>a</w:t>
      </w:r>
      <w:r>
        <w:t xml:space="preserve"> − </w:t>
      </w:r>
      <w:r>
        <w:rPr>
          <w:i/>
        </w:rPr>
        <w:t>bt</w:t>
      </w:r>
      <w:r>
        <w:t xml:space="preserve">, and with </w:t>
      </w:r>
      <w:r>
        <w:rPr>
          <w:i/>
        </w:rPr>
        <w:t>ℓ</w:t>
      </w:r>
      <w:r>
        <w:t xml:space="preserve"> the log10 assay floor and </w:t>
      </w:r>
      <w:r>
        <w:rPr>
          <w:i/>
        </w:rPr>
        <w:t>D</w:t>
      </w:r>
      <w:r>
        <w:t xml:space="preserve"> = </w:t>
      </w:r>
      <w:r>
        <w:rPr>
          <w:i/>
        </w:rPr>
        <w:t>a</w:t>
      </w:r>
      <w:r>
        <w:t xml:space="preserve"> − </w:t>
      </w:r>
      <w:r>
        <w:rPr>
          <w:i/>
        </w:rPr>
        <w:t>ℓ</w:t>
      </w:r>
      <w:r>
        <w:t xml:space="preserve"> the distance the population starts above it, the crossing time is </w:t>
      </w:r>
      <w:r>
        <w:rPr>
          <w:i/>
        </w:rPr>
        <w:t>T</w:t>
      </w:r>
      <w:r>
        <w:t xml:space="preserve"> = </w:t>
      </w:r>
      <w:r>
        <w:rPr>
          <w:i/>
        </w:rPr>
        <w:t>D</w:t>
      </w:r>
      <w:r>
        <w:t>/</w:t>
      </w:r>
      <w:r>
        <w:rPr>
          <w:i/>
        </w:rPr>
        <w:t>b</w:t>
      </w:r>
      <w:r>
        <w:t>. For two flasks,</w:t>
      </w:r>
    </w:p>
    <w:p>
      <w:pPr>
        <w:spacing w:line="240" w:lineRule="auto"/>
        <w:ind w:left="720"/>
      </w:pPr>
      <w:r>
        <w:rPr>
          <w:rFonts w:ascii="Consolas" w:hAnsi="Consolas"/>
          <w:sz w:val="22"/>
        </w:rPr>
        <w:t>log(T_A / T_B) = log(D_A / D_B) − log(b_A / b_B),</w:t>
      </w:r>
    </w:p>
    <w:p>
      <w:r>
        <w:t xml:space="preserve">which splits a difference in crossing time into a distance term and a rate term. An </w:t>
      </w:r>
      <w:r>
        <w:rPr>
          <w:b/>
        </w:rPr>
        <w:t>inversion</w:t>
      </w:r>
      <w:r>
        <w:t xml:space="preserve"> is a pair in which A fell faster yet crossed later, occurring exactly when </w:t>
      </w:r>
      <w:r>
        <w:rPr>
          <w:i/>
        </w:rPr>
        <w:t>D_A</w:t>
      </w:r>
      <w:r>
        <w:t>/</w:t>
      </w:r>
      <w:r>
        <w:rPr>
          <w:i/>
        </w:rPr>
        <w:t>D_B</w:t>
      </w:r>
      <w:r>
        <w:t xml:space="preserve"> &gt; </w:t>
      </w:r>
      <w:r>
        <w:rPr>
          <w:i/>
        </w:rPr>
        <w:t>b_A</w:t>
      </w:r>
      <w:r>
        <w:t>/</w:t>
      </w:r>
      <w:r>
        <w:rPr>
          <w:i/>
        </w:rPr>
        <w:t>b_B</w:t>
      </w:r>
      <w:r>
        <w:t>.</w:t>
      </w:r>
    </w:p>
    <w:p>
      <w:r>
        <w:rPr>
          <w:b/>
        </w:rPr>
        <w:t>Multiplicity.</w:t>
      </w:r>
      <w:r>
        <w:t xml:space="preserve"> Where a question admits more than one test, every test the deposit supports is run, and the family is corrected by the Benjamini–Hochberg procedure (58) at a false discovery rate of 5 per cent.</w:t>
      </w:r>
    </w:p>
    <w:p>
      <w:r>
        <w:t>Four procedures are implemented in the released analysis code rather than taken from a package: the Brant test, the partial-proportional-odds fit, the product-of-coefficients mediation, and the residual-correlation sensitivity. These live in `exp30_ordinal_tolerance.py` and `exp34_mediation.py`; the partial-proportional-odds likelihood is validated against the proportional-odds fit it nests, agreeing to 1.0 × 10⁻¹⁰ in log-likelihood.</w:t>
      </w:r>
    </w:p>
    <w:p>
      <w:r>
        <w:t>Analyses used Python 3.14 with numpy 2.5.0 (59), scipy 1.18.0 (60), pandas 3.0.3 (61), statsmodels 0.15.0 (62) and lifelines 0.30.3 (63).</w:t>
      </w:r>
    </w:p>
    <w:p>
      <w:pPr>
        <w:spacing w:before="240"/>
      </w:pPr>
      <w:r>
        <w:rPr>
          <w:b/>
          <w:sz w:val="22"/>
        </w:rPr>
        <w:t>Ethics</w:t>
      </w:r>
    </w:p>
    <w:p>
      <w:r>
        <w:t xml:space="preserve">This study analysed publicly available, de-identified datasets, and generated one time-kill experiment in a reference strain of </w:t>
      </w:r>
      <w:r>
        <w:rPr>
          <w:i/>
        </w:rPr>
        <w:t>Escherichia coli</w:t>
      </w:r>
      <w:r>
        <w:t>. No human or animal subjects were involved, no patient samples were collected, and no individual is identifiable from any material presented here. The prospective experiment was performed at the Department of Microbiology, Iran University of Medical Sciences, Tehran, Iran, on a biosafety-level-1-appropriate quality-control strain (ATCC 25922); no institutional review board holds jurisdiction over secondary analysis of de-identified public data or over work on a bacterial quality-control strain.</w:t>
      </w:r>
    </w:p>
    <w:p>
      <w:pPr>
        <w:spacing w:before="240"/>
      </w:pPr>
      <w:r>
        <w:rPr>
          <w:b/>
          <w:sz w:val="22"/>
        </w:rPr>
        <w:t>Declaration of generative AI and AI-assisted technologies in the manuscript preparation process</w:t>
      </w:r>
    </w:p>
    <w:p>
      <w:r>
        <w:t>Anthropic's Claude was used under the author's direction to read the manuscript and to assist in running the Python analysis pipeline. Claude Sonnet 5 was further used, under the author's direction, to document and organise the analysis code and to prepare its commits to the version-controlled repository. No figure, image or schematic was generated by an artificial intelligence tool; every figure is plotted from values that regenerate from the public deposits. No artificial intelligence tool is an author. The author directed the study, verified every reported quantity against the source deposits and the regenerating pipeline, and takes full responsibility for the content of this article, including its accuracy and its originality.</w:t>
      </w:r>
    </w:p>
    <w:p>
      <w:pPr>
        <w:spacing w:before="240"/>
      </w:pPr>
      <w:r>
        <w:rPr>
          <w:b/>
          <w:sz w:val="22"/>
        </w:rPr>
        <w:t>Data availability</w:t>
      </w:r>
    </w:p>
    <w:p>
      <w:r>
        <w:t>Every dataset analysed here was already public under an open licence. Each is identified in Table 1 and cited alongside the article that first described it: Vijay and colleagues (6, 12), van Wijk and colleagues (7, 13), Windels and colleagues (16, 30), Kaur and colleagues (14, 15), and the hollow-fibre Source Data of Dubey and colleagues (17, 18), held out of every fitting step. The readings from the prospective experiment are deposited with the analysis code.</w:t>
      </w:r>
    </w:p>
    <w:p>
      <w:r>
        <w:t>That code, both audit scripts, the headroom tool and machine-readable receipts recording the software versions each stage ran under are in a public repository (64), dual-licensed: the code under the Massachusetts Institute of Technology (MIT) licence, and the manuscript, figures and results under CC BY 4.0. The deposits keep their depositors' own licences. It is at https://github.com/piranfar/detection-floor-tolerance-endpoints, and this manuscript was built from commit ac74e4a+ of it.</w:t>
      </w:r>
    </w:p>
    <w:p>
      <w:pPr>
        <w:spacing w:before="240"/>
      </w:pPr>
      <w:r>
        <w:rPr>
          <w:b/>
          <w:sz w:val="22"/>
        </w:rPr>
        <w:t>Declaration of computational reproducibility</w:t>
      </w:r>
    </w:p>
    <w:p>
      <w:r>
        <w:t>Every number in this paper is regenerated by a script that writes a machine-readable receipt, and an audit script recomputes 174 quantities quoted in the text from the tables they came from. A second audit checks that every number in the Abstract, Box 1, and every table and figure legend traces to a results file or receipt, that no numeric literal carries two incompatible statistical labels (a hazard ratio quoted where another table calls the same figure a p-value, for example), and that no cross-reference or sample-size count is stale. Neither audit pins every cell of every table.</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