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Rifampicin tolerance classification is bounded by assay detection floor among clinical </w:t>
      </w:r>
      <w:r>
        <w:rPr>
          <w:b/>
          <w:i/>
          <w:sz w:val="28"/>
        </w:rPr>
        <w:t>Mycobacterium tuberculosis</w:t>
      </w:r>
      <w:r>
        <w:rPr>
          <w:b/>
          <w:sz w:val="28"/>
        </w:rPr>
        <w:t xml:space="preserve"> isolates</w:t>
      </w:r>
    </w:p>
    <w:p>
      <w:r>
        <w:rPr>
          <w:b/>
        </w:rPr>
        <w:t>Author:</w:t>
      </w:r>
      <w:r>
        <w:t xml:space="preserve"> Vahhab Piranfar¹</w:t>
      </w:r>
    </w:p>
    <w:p>
      <w:r>
        <w:t>¹Department of Microbiology, Iran University of Medical Sciences, Tehran, Iran</w:t>
      </w:r>
    </w:p>
    <w:p>
      <w:r>
        <w:t>ORCID: [0000-0003-3653-5739](https://orcid.org/0000-0003-3653-5739)</w:t>
      </w:r>
    </w:p>
    <w:p>
      <w:r>
        <w:rPr>
          <w:b/>
        </w:rPr>
        <w:t>Correspondence:</w:t>
      </w:r>
      <w:r>
        <w:t xml:space="preserve"> Vahhab Piranfar, vahab.p@gmail.com</w:t>
      </w:r>
    </w:p>
    <w:p>
      <w:r>
        <w:rPr>
          <w:b/>
        </w:rPr>
        <w:t>Figures:</w:t>
      </w:r>
      <w:r>
        <w:t xml:space="preserve"> 2 | </w:t>
      </w:r>
      <w:r>
        <w:rPr>
          <w:b/>
        </w:rPr>
        <w:t>Tables:</w:t>
      </w:r>
      <w:r>
        <w:t xml:space="preserve"> 3 | </w:t>
      </w:r>
      <w:r>
        <w:rPr>
          <w:b/>
        </w:rPr>
        <w:t>Boxes:</w:t>
      </w:r>
      <w:r>
        <w:t xml:space="preserve"> 2 | </w:t>
      </w:r>
      <w:r>
        <w:rPr>
          <w:b/>
        </w:rPr>
        <w:t>Supplemental figures:</w:t>
      </w:r>
      <w:r>
        <w:t xml:space="preserve"> 6 | </w:t>
      </w:r>
      <w:r>
        <w:rPr>
          <w:b/>
        </w:rPr>
        <w:t>Supplemental tables:</w:t>
      </w:r>
      <w:r>
        <w:t xml:space="preserve"> 26</w:t>
      </w:r>
    </w:p>
    <w:p>
      <w:pPr>
        <w:spacing w:before="240"/>
      </w:pPr>
      <w:r>
        <w:rPr>
          <w:b/>
          <w:sz w:val="24"/>
        </w:rPr>
        <w:t>Abstract</w:t>
      </w:r>
    </w:p>
    <w:p>
      <w:r>
        <w:t xml:space="preserve">Time-kill assays are the standard method for evaluating antibiotic tolerance, but constraints from starting bacterial density and the assay's detection floor are frequently overlooked, causing systematic misclassification of bacterial survival. We show how an unreported detection floor structurally distorts rifampicin tolerance classification in </w:t>
      </w:r>
      <w:r>
        <w:rPr>
          <w:i/>
        </w:rPr>
        <w:t>Mycobacterium tuberculosis</w:t>
      </w:r>
      <w:r>
        <w:t>.</w:t>
      </w:r>
    </w:p>
    <w:p>
      <w:r>
        <w:t xml:space="preserve">We analyzed rifampicin tolerance against the assay's detection floor in 217 clinical </w:t>
      </w:r>
      <w:r>
        <w:rPr>
          <w:i/>
        </w:rPr>
        <w:t>M. tuberculosis</w:t>
      </w:r>
      <w:r>
        <w:t xml:space="preserve"> isolates, isoniazid-susceptible and isoniazid-resistant alike, and derived two boundaries from the assay's own definitions: a reachability boundary, below which starting density cannot mathematically support the assigned log reduction, and an identifiability boundary, below which a floor-level reading cannot be distinguished from a lower tolerance class. Both boundaries were then tested prospectively in </w:t>
      </w:r>
      <w:r>
        <w:rPr>
          <w:i/>
        </w:rPr>
        <w:t>Escherichia coli</w:t>
      </w:r>
      <w:r>
        <w:t>.</w:t>
      </w:r>
    </w:p>
    <w:p>
      <w:r>
        <w:t xml:space="preserve">The standard classification proved structurally compromised. Thirty-three of 217 isolates lacked the starting density needed to physically reach their assigned 99.99 percent reduction, and none of them did. Eighteen isolates ended the assay exactly at the detection floor; a third were compatible with more than one tolerance class, admitting no unique classification. These floor-level outcomes tracked growth rate, and isoniazid-resistant isolates, seeded at a tenfold lower starting density than susceptible ones, were disproportionately exposed to this artifact. The </w:t>
      </w:r>
      <w:r>
        <w:rPr>
          <w:i/>
        </w:rPr>
        <w:t>E. coli</w:t>
      </w:r>
      <w:r>
        <w:t xml:space="preserve"> experiment confirmed both boundaries outside </w:t>
      </w:r>
      <w:r>
        <w:rPr>
          <w:i/>
        </w:rPr>
        <w:t>M. tuberculosis</w:t>
      </w:r>
      <w:r>
        <w:t>: adjusting the plated volume alone assigned two conflicting tolerance labels to a single culture at six of 54 sample times.</w:t>
      </w:r>
    </w:p>
    <w:p>
      <w:r>
        <w:t>A rifampicin tolerance classification made without reporting starting density and detection floor is mathematically uninterpretable, and isoniazid-resistant tuberculosis, read at the edge of that floor, is where the distortion concentrates.</w:t>
      </w:r>
    </w:p>
    <w:p>
      <w:r>
        <w:rPr>
          <w:b/>
        </w:rPr>
        <w:t>Keywords:</w:t>
      </w:r>
      <w:r>
        <w:t xml:space="preserve"> time-kill assay; limit of quantification; minimum duration for killing; antibiotic tolerance; colony counting; censored data; </w:t>
      </w:r>
      <w:r>
        <w:rPr>
          <w:i/>
        </w:rPr>
        <w:t>Mycobacterium tuberculosis</w:t>
      </w:r>
    </w:p>
    <w:p>
      <w:pPr>
        <w:spacing w:before="240"/>
      </w:pPr>
      <w:r>
        <w:rPr>
          <w:b/>
          <w:sz w:val="24"/>
        </w:rPr>
        <w:t>Introduction</w:t>
      </w:r>
    </w:p>
    <w:p>
      <w:r>
        <w:t xml:space="preserve">Tuberculosis treatment runs for four to six months (1). Shortening it means finding drugs that kill </w:t>
      </w:r>
      <w:r>
        <w:rPr>
          <w:i/>
        </w:rPr>
        <w:t>Mycobacterium tuberculosis</w:t>
      </w:r>
      <w:r>
        <w:t xml:space="preserve"> faster, and that choice is made in a flask: the compounds that could shorten a regimen are picked out of in vitro killing experiments. The experiment is simple: grow the organism, add the drug, and at set times dilute a sample, spread it on a plate, and count the colonies, each standing for one bacterium alive when it was plated, and the counts over time are the killing curve.</w:t>
      </w:r>
    </w:p>
    <w:p>
      <w:r>
        <w:t>Every clinical microbiologist already knows the trap in that last step. A culture taken after antibiotics have started is not evidence of sterility. It is why blood cultures are drawn before the first dose. A drug suppresses growth, injures cells sublethally, carries over into the medium, and drives the population beneath what the plate can see; the plate then reports absence, and absence is not what happened. The rule is old, it is correct, and nobody disputes it.</w:t>
      </w:r>
    </w:p>
    <w:p>
      <w:r>
        <w:t xml:space="preserve">The plate also has a hard floor, and the pipette sets it. The smallest positive result is one colony, and what one colony means depends on how much you spread. Plate 100 µL and one colony is 10 bacteria per mL. That is the floor. Anything below it comes back as no growth, which is not the same as nothing there. Write </w:t>
      </w:r>
      <w:r>
        <w:rPr>
          <w:i/>
        </w:rPr>
        <w:t>L</w:t>
      </w:r>
      <w:r>
        <w:t xml:space="preserve"> for that floor and </w:t>
      </w:r>
      <w:r>
        <w:rPr>
          <w:i/>
        </w:rPr>
        <w:t>N₀</w:t>
      </w:r>
      <w:r>
        <w:t xml:space="preserve"> for the starting density.</w:t>
      </w:r>
    </w:p>
    <w:p>
      <w:r>
        <w:t>Tuberculosis makes the old rule expensive, because the phenotype invoked to explain why treatment takes so long is itself defined by a duration. That phenotype is tolerance: the capacity of a genetically susceptible population to survive an exposure that should kill it. These bacteria are not resistant. The drug still works on them. They just take a long time to die, and that time is the measurement. A phenotype defined by a duration is defined by exactly the observation the old rule warns about.</w:t>
      </w:r>
    </w:p>
    <w:p>
      <w:r>
        <w:t xml:space="preserve">The field's response was to engineer around the warning rather than ignore it. Rather than asking whether a culture went negative, the modern definition asks how many logs the population fell: the minimum duration for killing, MDK, is the time to a specified fractional reduction (90, 99 or 99.99 per cent) and it is proposed as the tolerance counterpart to the minimum inhibitory concentration (2, 3). The choice of a </w:t>
      </w:r>
      <w:r>
        <w:rPr>
          <w:i/>
        </w:rPr>
        <w:t>fraction</w:t>
      </w:r>
      <w:r>
        <w:t xml:space="preserve"> is the whole point. A ratio to the starting population is scale-free: if the count falls in a straight line on a log scale at rate </w:t>
      </w:r>
      <w:r>
        <w:rPr>
          <w:i/>
        </w:rPr>
        <w:t>b</w:t>
      </w:r>
      <w:r>
        <w:t xml:space="preserve">, the time to a </w:t>
      </w:r>
      <w:r>
        <w:rPr>
          <w:i/>
        </w:rPr>
        <w:t>q</w:t>
      </w:r>
      <w:r>
        <w:t xml:space="preserve">-log reduction is </w:t>
      </w:r>
      <w:r>
        <w:rPr>
          <w:i/>
        </w:rPr>
        <w:t>q/b</w:t>
      </w:r>
      <w:r>
        <w:t>, and the starting density cancels. By construction, MDK cannot be contaminated by how much culture went into the tube. That is the property it was built to have.</w:t>
      </w:r>
    </w:p>
    <w:p>
      <w:r>
        <w:t>Two things are worth separating before going further. As defined by Brauner and colleagues and codified in the field's consensus guidelines, MDK is not a plate-count metric: it was first measured from presence or absence of survivors in microwell arrays of about a hundred cells, a design chosen specifically to avoid dilution plating, and the guidelines say how the smallest detectable count should be established (3, 4). What this paper examines is the form the tuberculosis field adopted: log-reduction endpoints computed from plate counts and most-probable-number series against a measured starting density. The floor problem belongs to that implementation, not the definition, and every deposit here uses it.</w:t>
      </w:r>
    </w:p>
    <w:p>
      <w:r>
        <w:t xml:space="preserve">The property holds in the definition. It does not hold in the measurement, and the gap between the two is what this paper is about. To show a four-log kill you have to be able to see four logs down. A </w:t>
      </w:r>
      <w:r>
        <w:rPr>
          <w:i/>
        </w:rPr>
        <w:t>q</w:t>
      </w:r>
      <w:r>
        <w:t xml:space="preserve">-log reduction can be estimated only if </w:t>
      </w:r>
      <w:r>
        <w:rPr>
          <w:i/>
        </w:rPr>
        <w:t>q</w:t>
      </w:r>
      <w:r>
        <w:t xml:space="preserve"> logs are visible, and what is visible is bounded below by the floor. So an isolate has</w:t>
      </w:r>
    </w:p>
    <w:p>
      <w:pPr>
        <w:spacing w:line="240" w:lineRule="auto"/>
        <w:ind w:left="720"/>
      </w:pPr>
      <w:r>
        <w:rPr>
          <w:rFonts w:ascii="Consolas" w:hAnsi="Consolas"/>
          <w:sz w:val="22"/>
        </w:rPr>
        <w:t>headroom  h = log10(N₀ / L)</w:t>
      </w:r>
    </w:p>
    <w:p>
      <w:r>
        <w:t xml:space="preserve">and no experiment can demonstrate a reduction deeper than </w:t>
      </w:r>
      <w:r>
        <w:rPr>
          <w:i/>
        </w:rPr>
        <w:t>h</w:t>
      </w:r>
      <w:r>
        <w:t xml:space="preserve">, however completely the drug worked. Where </w:t>
      </w:r>
      <w:r>
        <w:rPr>
          <w:i/>
        </w:rPr>
        <w:t>h</w:t>
      </w:r>
      <w:r>
        <w:t xml:space="preserve"> &lt; </w:t>
      </w:r>
      <w:r>
        <w:rPr>
          <w:i/>
        </w:rPr>
        <w:t>q</w:t>
      </w:r>
      <w:r>
        <w:t xml:space="preserve"> the endpoint is unreachable before the drug is added. That is the first boundary, and we call it reachability.</w:t>
      </w:r>
    </w:p>
    <w:p>
      <w:r>
        <w:t xml:space="preserve">It gets worse when the last count lands on the floor. The fraction written down is then </w:t>
      </w:r>
      <w:r>
        <w:rPr>
          <w:i/>
        </w:rPr>
        <w:t>L/N₀</w:t>
      </w:r>
      <w:r>
        <w:t>: the floor divided by the starting density. It is not a measurement of how many survived. The drug has dropped out of it, and what is left is the pipette and the inoculum. The metric designed to be inoculum-independent becomes a pure inoculum readout precisely at the depth where tolerance is scored. That is the second boundary, and we call it identifiability.</w:t>
      </w:r>
    </w:p>
    <w:p>
      <w:r>
        <w:t xml:space="preserve">No prior treatment converts a floor-level reading into the classification rule it becomes. When the last count sits at </w:t>
      </w:r>
      <w:r>
        <w:rPr>
          <w:i/>
        </w:rPr>
        <w:t>L</w:t>
      </w:r>
      <w:r>
        <w:t xml:space="preserve">, the recorded fraction is </w:t>
      </w:r>
      <w:r>
        <w:rPr>
          <w:i/>
        </w:rPr>
        <w:t>L</w:t>
      </w:r>
      <w:r>
        <w:t>/</w:t>
      </w:r>
      <w:r>
        <w:rPr>
          <w:i/>
        </w:rPr>
        <w:t>N</w:t>
      </w:r>
      <w:r>
        <w:t>₀, and the low, medium or high label is then a cut on starting density. That is the gap this paper fills. Two further failures have to be kept distinct from it. A duration ceiling (the assay stopped looking) is not a count floor, which is the plate being unable to see. And recording a below-limit flag is not the same as scoring a duration from the points so recorded.</w:t>
      </w:r>
    </w:p>
    <w:p>
      <w:r>
        <w:t>This study asks how deep a log-reduction tolerance endpoint can be measured at all, and whether real isolates have been assigned tolerance phenotypes from outside that range. Two boundaries on the starting density follow from the definitions, one deciding whether an endpoint is reachable and the other whether a floor-level reading identifies a class, and both are computed from quantities a time-kill protocol already records. Neither asks a laboratory to measure anything new.</w:t>
      </w:r>
    </w:p>
    <w:p>
      <w:r>
        <w:t xml:space="preserve">Answering that question at all requires deposits that record the three quantities the arithmetic needs (a starting density measured before treatment, a time series, and either a plated volume or a stated floor), and most do not. Of 78 candidate time-kill datasets assembled for this study, 45 were inspected in full; of the 40 distinct literature deposits among them, </w:t>
      </w:r>
      <w:r>
        <w:rPr>
          <w:b/>
        </w:rPr>
        <w:t>32 state no assay floor by any route</w:t>
      </w:r>
      <w:r>
        <w:t>. That number is not a preamble to the analysis; it is the first result, and it is why the five deposits carried forward are five rather than fifty (Table S1).</w:t>
      </w:r>
    </w:p>
    <w:p>
      <w:r>
        <w:t>If the hypothesis holds, a tolerance call reported without its starting density and its assay floor cannot be interpreted, and the phenotypes assigned in its name are, in part, a record of how the assay was set up.</w:t>
      </w:r>
    </w:p>
    <w:p>
      <w:r>
        <w:rPr>
          <w:b/>
        </w:rPr>
        <w:t>Box 1. Four numbers that score an MDK.</w:t>
      </w:r>
      <w:r>
        <w:t xml:space="preserve"> </w:t>
      </w:r>
      <w:r>
        <w:rPr>
          <w:i/>
        </w:rPr>
        <w:t>N₀</w:t>
      </w:r>
      <w:r>
        <w:t xml:space="preserve"> is the starting density. </w:t>
      </w:r>
      <w:r>
        <w:rPr>
          <w:i/>
        </w:rPr>
        <w:t>L</w:t>
      </w:r>
      <w:r>
        <w:t xml:space="preserve"> is the smallest positive count the method can report: one colony in a plated volume </w:t>
      </w:r>
      <w:r>
        <w:rPr>
          <w:i/>
        </w:rPr>
        <w:t>v</w:t>
      </w:r>
      <w:r>
        <w:t xml:space="preserve"> µL is </w:t>
      </w:r>
      <w:r>
        <w:rPr>
          <w:i/>
        </w:rPr>
        <w:t>L</w:t>
      </w:r>
      <w:r>
        <w:t xml:space="preserve"> = 1 000/</w:t>
      </w:r>
      <w:r>
        <w:rPr>
          <w:i/>
        </w:rPr>
        <w:t>v</w:t>
      </w:r>
      <w:r>
        <w:t xml:space="preserve"> per mL, and an MPN series uses the lowest table rung (5, 6). Headroom is </w:t>
      </w:r>
      <w:r>
        <w:rPr>
          <w:i/>
        </w:rPr>
        <w:t>h</w:t>
      </w:r>
      <w:r>
        <w:t xml:space="preserve"> = log10(</w:t>
      </w:r>
      <w:r>
        <w:rPr>
          <w:i/>
        </w:rPr>
        <w:t>N₀</w:t>
      </w:r>
      <w:r>
        <w:t>/</w:t>
      </w:r>
      <w:r>
        <w:rPr>
          <w:i/>
        </w:rPr>
        <w:t>L</w:t>
      </w:r>
      <w:r>
        <w:t xml:space="preserve">). A </w:t>
      </w:r>
      <w:r>
        <w:rPr>
          <w:i/>
        </w:rPr>
        <w:t>q</w:t>
      </w:r>
      <w:r>
        <w:t xml:space="preserve">-log endpoint is legal only if </w:t>
      </w:r>
      <w:r>
        <w:rPr>
          <w:i/>
        </w:rPr>
        <w:t>h</w:t>
      </w:r>
      <w:r>
        <w:t xml:space="preserve"> ≥ </w:t>
      </w:r>
      <w:r>
        <w:rPr>
          <w:i/>
        </w:rPr>
        <w:t>q</w:t>
      </w:r>
      <w:r>
        <w:t xml:space="preserve">, which is the same as seeding at or above </w:t>
      </w:r>
      <w:r>
        <w:rPr>
          <w:i/>
        </w:rPr>
        <w:t>L</w:t>
      </w:r>
      <w:r>
        <w:t xml:space="preserve"> · 10^</w:t>
      </w:r>
      <w:r>
        <w:rPr>
          <w:i/>
        </w:rPr>
        <w:t>q</w:t>
      </w:r>
      <w:r>
        <w:t xml:space="preserve">. If the last reading sits at </w:t>
      </w:r>
      <w:r>
        <w:rPr>
          <w:i/>
        </w:rPr>
        <w:t>L</w:t>
      </w:r>
      <w:r>
        <w:t xml:space="preserve">, the recorded fraction is </w:t>
      </w:r>
      <w:r>
        <w:rPr>
          <w:i/>
        </w:rPr>
        <w:t>L</w:t>
      </w:r>
      <w:r>
        <w:t>/</w:t>
      </w:r>
      <w:r>
        <w:rPr>
          <w:i/>
        </w:rPr>
        <w:t>N₀</w:t>
      </w:r>
      <w:r>
        <w:t>: an upper bound, not a measurement.</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40"/>
            </w:pPr>
            <w:r>
              <w:rPr>
                <w:b/>
                <w:sz w:val="18"/>
              </w:rPr>
            </w:r>
            <w:r>
              <w:rPr>
                <w:b/>
                <w:sz w:val="18"/>
              </w:rPr>
              <w:t>Culture</w:t>
            </w:r>
          </w:p>
        </w:tc>
        <w:tc>
          <w:tcPr>
            <w:tcW w:type="dxa" w:w="1560"/>
          </w:tcPr>
          <w:p>
            <w:pPr>
              <w:spacing w:line="240" w:lineRule="auto" w:after="40"/>
            </w:pPr>
            <w:r>
              <w:rPr>
                <w:b/>
                <w:sz w:val="18"/>
              </w:rPr>
            </w:r>
            <w:r>
              <w:rPr>
                <w:b/>
                <w:i/>
                <w:sz w:val="18"/>
              </w:rPr>
              <w:t>N₀</w:t>
            </w:r>
            <w:r>
              <w:rPr>
                <w:b/>
                <w:sz w:val="18"/>
              </w:rPr>
              <w:t xml:space="preserve"> (per mL)</w:t>
            </w:r>
          </w:p>
        </w:tc>
        <w:tc>
          <w:tcPr>
            <w:tcW w:type="dxa" w:w="1560"/>
          </w:tcPr>
          <w:p>
            <w:pPr>
              <w:spacing w:line="240" w:lineRule="auto" w:after="40"/>
            </w:pPr>
            <w:r>
              <w:rPr>
                <w:b/>
                <w:sz w:val="18"/>
              </w:rPr>
            </w:r>
            <w:r>
              <w:rPr>
                <w:b/>
                <w:i/>
                <w:sz w:val="18"/>
              </w:rPr>
              <w:t>L</w:t>
            </w:r>
            <w:r>
              <w:rPr>
                <w:b/>
                <w:sz w:val="18"/>
              </w:rPr>
              <w:t xml:space="preserve"> (per mL)</w:t>
            </w:r>
          </w:p>
        </w:tc>
        <w:tc>
          <w:tcPr>
            <w:tcW w:type="dxa" w:w="1560"/>
          </w:tcPr>
          <w:p>
            <w:pPr>
              <w:spacing w:line="240" w:lineRule="auto" w:after="40"/>
            </w:pPr>
            <w:r>
              <w:rPr>
                <w:b/>
                <w:sz w:val="18"/>
              </w:rPr>
            </w:r>
            <w:r>
              <w:rPr>
                <w:b/>
                <w:sz w:val="18"/>
              </w:rPr>
              <w:t>Headroom</w:t>
            </w:r>
          </w:p>
        </w:tc>
        <w:tc>
          <w:tcPr>
            <w:tcW w:type="dxa" w:w="1560"/>
          </w:tcPr>
          <w:p>
            <w:pPr>
              <w:spacing w:line="240" w:lineRule="auto" w:after="40"/>
            </w:pPr>
            <w:r>
              <w:rPr>
                <w:b/>
                <w:sz w:val="18"/>
              </w:rPr>
            </w:r>
            <w:r>
              <w:rPr>
                <w:b/>
                <w:sz w:val="18"/>
              </w:rPr>
              <w:t>Legal endpoints</w:t>
            </w:r>
          </w:p>
        </w:tc>
        <w:tc>
          <w:tcPr>
            <w:tcW w:type="dxa" w:w="1560"/>
          </w:tcPr>
          <w:p>
            <w:pPr>
              <w:spacing w:line="240" w:lineRule="auto" w:after="40"/>
            </w:pPr>
            <w:r>
              <w:rPr>
                <w:b/>
                <w:sz w:val="18"/>
              </w:rPr>
            </w:r>
            <w:r>
              <w:rPr>
                <w:b/>
                <w:sz w:val="18"/>
              </w:rPr>
              <w:t xml:space="preserve">If the last reading is at </w:t>
            </w:r>
            <w:r>
              <w:rPr>
                <w:b/>
                <w:i/>
                <w:sz w:val="18"/>
              </w:rPr>
              <w:t>L</w:t>
            </w:r>
          </w:p>
        </w:tc>
      </w:tr>
      <w:tr>
        <w:tc>
          <w:tcPr>
            <w:tcW w:type="dxa" w:w="1560"/>
          </w:tcPr>
          <w:p>
            <w:pPr>
              <w:spacing w:line="240" w:lineRule="auto" w:after="40"/>
            </w:pPr>
            <w:r>
              <w:rPr>
                <w:sz w:val="18"/>
              </w:rPr>
            </w:r>
            <w:r>
              <w:rPr>
                <w:sz w:val="18"/>
              </w:rPr>
              <w:t>Thin clinical MPN</w:t>
            </w:r>
          </w:p>
        </w:tc>
        <w:tc>
          <w:tcPr>
            <w:tcW w:type="dxa" w:w="1560"/>
          </w:tcPr>
          <w:p>
            <w:pPr>
              <w:spacing w:line="240" w:lineRule="auto" w:after="40"/>
            </w:pPr>
            <w:r>
              <w:rPr>
                <w:sz w:val="18"/>
              </w:rPr>
            </w:r>
            <w:r>
              <w:rPr>
                <w:sz w:val="18"/>
              </w:rPr>
              <w:t>23 000</w:t>
            </w:r>
          </w:p>
        </w:tc>
        <w:tc>
          <w:tcPr>
            <w:tcW w:type="dxa" w:w="1560"/>
          </w:tcPr>
          <w:p>
            <w:pPr>
              <w:spacing w:line="240" w:lineRule="auto" w:after="40"/>
            </w:pPr>
            <w:r>
              <w:rPr>
                <w:sz w:val="18"/>
              </w:rPr>
            </w:r>
            <w:r>
              <w:rPr>
                <w:sz w:val="18"/>
              </w:rPr>
              <w:t>23</w:t>
            </w:r>
          </w:p>
        </w:tc>
        <w:tc>
          <w:tcPr>
            <w:tcW w:type="dxa" w:w="1560"/>
          </w:tcPr>
          <w:p>
            <w:pPr>
              <w:spacing w:line="240" w:lineRule="auto" w:after="40"/>
            </w:pPr>
            <w:r>
              <w:rPr>
                <w:sz w:val="18"/>
              </w:rPr>
            </w:r>
            <w:r>
              <w:rPr>
                <w:sz w:val="18"/>
              </w:rPr>
              <w:t>3.00</w:t>
            </w:r>
          </w:p>
        </w:tc>
        <w:tc>
          <w:tcPr>
            <w:tcW w:type="dxa" w:w="1560"/>
          </w:tcPr>
          <w:p>
            <w:pPr>
              <w:spacing w:line="240" w:lineRule="auto" w:after="40"/>
            </w:pPr>
            <w:r>
              <w:rPr>
                <w:sz w:val="18"/>
              </w:rPr>
            </w:r>
            <w:r>
              <w:rPr>
                <w:sz w:val="18"/>
              </w:rPr>
              <w:t>90%, 99%, 99.9%; not 99.99%</w:t>
            </w:r>
          </w:p>
        </w:tc>
        <w:tc>
          <w:tcPr>
            <w:tcW w:type="dxa" w:w="1560"/>
          </w:tcPr>
          <w:p>
            <w:pPr>
              <w:spacing w:line="240" w:lineRule="auto" w:after="40"/>
            </w:pPr>
            <w:r>
              <w:rPr>
                <w:sz w:val="18"/>
              </w:rPr>
            </w:r>
            <w:r>
              <w:rPr>
                <w:sz w:val="18"/>
              </w:rPr>
              <w:t>Fraction 10⁻³. Low and medium both compatible: the rule cannot choose.</w:t>
            </w:r>
          </w:p>
        </w:tc>
      </w:tr>
      <w:tr>
        <w:tc>
          <w:tcPr>
            <w:tcW w:type="dxa" w:w="1560"/>
          </w:tcPr>
          <w:p>
            <w:pPr>
              <w:spacing w:line="240" w:lineRule="auto" w:after="40"/>
            </w:pPr>
            <w:r>
              <w:rPr>
                <w:sz w:val="18"/>
              </w:rPr>
            </w:r>
            <w:r>
              <w:rPr>
                <w:sz w:val="18"/>
              </w:rPr>
              <w:t>Adequate clinical MPN</w:t>
            </w:r>
          </w:p>
        </w:tc>
        <w:tc>
          <w:tcPr>
            <w:tcW w:type="dxa" w:w="1560"/>
          </w:tcPr>
          <w:p>
            <w:pPr>
              <w:spacing w:line="240" w:lineRule="auto" w:after="40"/>
            </w:pPr>
            <w:r>
              <w:rPr>
                <w:sz w:val="18"/>
              </w:rPr>
            </w:r>
            <w:r>
              <w:rPr>
                <w:sz w:val="18"/>
              </w:rPr>
              <w:t>230 000</w:t>
            </w:r>
          </w:p>
        </w:tc>
        <w:tc>
          <w:tcPr>
            <w:tcW w:type="dxa" w:w="1560"/>
          </w:tcPr>
          <w:p>
            <w:pPr>
              <w:spacing w:line="240" w:lineRule="auto" w:after="40"/>
            </w:pPr>
            <w:r>
              <w:rPr>
                <w:sz w:val="18"/>
              </w:rPr>
            </w:r>
            <w:r>
              <w:rPr>
                <w:sz w:val="18"/>
              </w:rPr>
              <w:t>23</w:t>
            </w:r>
          </w:p>
        </w:tc>
        <w:tc>
          <w:tcPr>
            <w:tcW w:type="dxa" w:w="1560"/>
          </w:tcPr>
          <w:p>
            <w:pPr>
              <w:spacing w:line="240" w:lineRule="auto" w:after="40"/>
            </w:pPr>
            <w:r>
              <w:rPr>
                <w:sz w:val="18"/>
              </w:rPr>
            </w:r>
            <w:r>
              <w:rPr>
                <w:sz w:val="18"/>
              </w:rPr>
              <w:t>4.00</w:t>
            </w:r>
          </w:p>
        </w:tc>
        <w:tc>
          <w:tcPr>
            <w:tcW w:type="dxa" w:w="1560"/>
          </w:tcPr>
          <w:p>
            <w:pPr>
              <w:spacing w:line="240" w:lineRule="auto" w:after="40"/>
            </w:pPr>
            <w:r>
              <w:rPr>
                <w:sz w:val="18"/>
              </w:rPr>
            </w:r>
            <w:r>
              <w:rPr>
                <w:sz w:val="18"/>
              </w:rPr>
              <w:t>all four, including 99.99%</w:t>
            </w:r>
          </w:p>
        </w:tc>
        <w:tc>
          <w:tcPr>
            <w:tcW w:type="dxa" w:w="1560"/>
          </w:tcPr>
          <w:p>
            <w:pPr>
              <w:spacing w:line="240" w:lineRule="auto" w:after="40"/>
            </w:pPr>
            <w:r>
              <w:rPr>
                <w:sz w:val="18"/>
              </w:rPr>
            </w:r>
            <w:r>
              <w:rPr>
                <w:sz w:val="18"/>
              </w:rPr>
              <w:t>Fraction 10⁻⁴. Only low is compatible.</w:t>
            </w:r>
          </w:p>
        </w:tc>
      </w:tr>
      <w:tr>
        <w:tc>
          <w:tcPr>
            <w:tcW w:type="dxa" w:w="1560"/>
          </w:tcPr>
          <w:p>
            <w:pPr>
              <w:spacing w:line="240" w:lineRule="auto" w:after="40"/>
            </w:pPr>
            <w:r>
              <w:rPr>
                <w:sz w:val="18"/>
              </w:rPr>
            </w:r>
            <w:r>
              <w:rPr>
                <w:sz w:val="18"/>
              </w:rPr>
              <w:t>100 µL plate</w:t>
            </w:r>
          </w:p>
        </w:tc>
        <w:tc>
          <w:tcPr>
            <w:tcW w:type="dxa" w:w="1560"/>
          </w:tcPr>
          <w:p>
            <w:pPr>
              <w:spacing w:line="240" w:lineRule="auto" w:after="40"/>
            </w:pPr>
            <w:r>
              <w:rPr>
                <w:sz w:val="18"/>
              </w:rPr>
            </w:r>
            <w:r>
              <w:rPr>
                <w:sz w:val="18"/>
              </w:rPr>
              <w:t>10⁵</w:t>
            </w:r>
          </w:p>
        </w:tc>
        <w:tc>
          <w:tcPr>
            <w:tcW w:type="dxa" w:w="1560"/>
          </w:tcPr>
          <w:p>
            <w:pPr>
              <w:spacing w:line="240" w:lineRule="auto" w:after="40"/>
            </w:pPr>
            <w:r>
              <w:rPr>
                <w:sz w:val="18"/>
              </w:rPr>
            </w:r>
            <w:r>
              <w:rPr>
                <w:sz w:val="18"/>
              </w:rPr>
              <w:t>10</w:t>
            </w:r>
          </w:p>
        </w:tc>
        <w:tc>
          <w:tcPr>
            <w:tcW w:type="dxa" w:w="1560"/>
          </w:tcPr>
          <w:p>
            <w:pPr>
              <w:spacing w:line="240" w:lineRule="auto" w:after="40"/>
            </w:pPr>
            <w:r>
              <w:rPr>
                <w:sz w:val="18"/>
              </w:rPr>
            </w:r>
            <w:r>
              <w:rPr>
                <w:sz w:val="18"/>
              </w:rPr>
              <w:t>4.00</w:t>
            </w:r>
          </w:p>
        </w:tc>
        <w:tc>
          <w:tcPr>
            <w:tcW w:type="dxa" w:w="1560"/>
          </w:tcPr>
          <w:p>
            <w:pPr>
              <w:spacing w:line="240" w:lineRule="auto" w:after="40"/>
            </w:pPr>
            <w:r>
              <w:rPr>
                <w:sz w:val="18"/>
              </w:rPr>
            </w:r>
            <w:r>
              <w:rPr>
                <w:sz w:val="18"/>
              </w:rPr>
              <w:t>through 99.99%; not a 5-log call</w:t>
            </w:r>
          </w:p>
        </w:tc>
        <w:tc>
          <w:tcPr>
            <w:tcW w:type="dxa" w:w="1560"/>
          </w:tcPr>
          <w:p>
            <w:pPr>
              <w:spacing w:line="240" w:lineRule="auto" w:after="40"/>
            </w:pPr>
            <w:r>
              <w:rPr>
                <w:sz w:val="18"/>
              </w:rPr>
            </w:r>
            <w:r>
              <w:rPr>
                <w:sz w:val="18"/>
              </w:rPr>
              <w:t xml:space="preserve">Fraction 10⁻⁴. A 5-log MDK needs </w:t>
            </w:r>
            <w:r>
              <w:rPr>
                <w:i/>
                <w:sz w:val="18"/>
              </w:rPr>
              <w:t>N₀</w:t>
            </w:r>
            <w:r>
              <w:rPr>
                <w:sz w:val="18"/>
              </w:rPr>
              <w:t xml:space="preserve"> ≥ 10⁶.</w:t>
            </w:r>
          </w:p>
        </w:tc>
      </w:tr>
      <w:tr>
        <w:tc>
          <w:tcPr>
            <w:tcW w:type="dxa" w:w="1560"/>
          </w:tcPr>
          <w:p>
            <w:pPr>
              <w:spacing w:line="240" w:lineRule="auto" w:after="40"/>
            </w:pPr>
            <w:r>
              <w:rPr>
                <w:sz w:val="18"/>
              </w:rPr>
            </w:r>
            <w:r>
              <w:rPr>
                <w:sz w:val="18"/>
              </w:rPr>
              <w:t xml:space="preserve">10 µL drop, same </w:t>
            </w:r>
            <w:r>
              <w:rPr>
                <w:i/>
                <w:sz w:val="18"/>
              </w:rPr>
              <w:t>N₀</w:t>
            </w:r>
          </w:p>
        </w:tc>
        <w:tc>
          <w:tcPr>
            <w:tcW w:type="dxa" w:w="1560"/>
          </w:tcPr>
          <w:p>
            <w:pPr>
              <w:spacing w:line="240" w:lineRule="auto" w:after="40"/>
            </w:pPr>
            <w:r>
              <w:rPr>
                <w:sz w:val="18"/>
              </w:rPr>
            </w:r>
            <w:r>
              <w:rPr>
                <w:sz w:val="18"/>
              </w:rPr>
              <w:t>10⁵</w:t>
            </w:r>
          </w:p>
        </w:tc>
        <w:tc>
          <w:tcPr>
            <w:tcW w:type="dxa" w:w="1560"/>
          </w:tcPr>
          <w:p>
            <w:pPr>
              <w:spacing w:line="240" w:lineRule="auto" w:after="40"/>
            </w:pPr>
            <w:r>
              <w:rPr>
                <w:sz w:val="18"/>
              </w:rPr>
            </w:r>
            <w:r>
              <w:rPr>
                <w:sz w:val="18"/>
              </w:rPr>
              <w:t>100</w:t>
            </w:r>
          </w:p>
        </w:tc>
        <w:tc>
          <w:tcPr>
            <w:tcW w:type="dxa" w:w="1560"/>
          </w:tcPr>
          <w:p>
            <w:pPr>
              <w:spacing w:line="240" w:lineRule="auto" w:after="40"/>
            </w:pPr>
            <w:r>
              <w:rPr>
                <w:sz w:val="18"/>
              </w:rPr>
            </w:r>
            <w:r>
              <w:rPr>
                <w:sz w:val="18"/>
              </w:rPr>
              <w:t>3.00</w:t>
            </w:r>
          </w:p>
        </w:tc>
        <w:tc>
          <w:tcPr>
            <w:tcW w:type="dxa" w:w="1560"/>
          </w:tcPr>
          <w:p>
            <w:pPr>
              <w:spacing w:line="240" w:lineRule="auto" w:after="40"/>
            </w:pPr>
            <w:r>
              <w:rPr>
                <w:sz w:val="18"/>
              </w:rPr>
            </w:r>
            <w:r>
              <w:rPr>
                <w:sz w:val="18"/>
              </w:rPr>
              <w:t>through 99.9%; not 99.99%</w:t>
            </w:r>
          </w:p>
        </w:tc>
        <w:tc>
          <w:tcPr>
            <w:tcW w:type="dxa" w:w="1560"/>
          </w:tcPr>
          <w:p>
            <w:pPr>
              <w:spacing w:line="240" w:lineRule="auto" w:after="40"/>
            </w:pPr>
            <w:r>
              <w:rPr>
                <w:sz w:val="18"/>
              </w:rPr>
            </w:r>
            <w:r>
              <w:rPr>
                <w:sz w:val="18"/>
              </w:rPr>
              <w:t>Fraction 10⁻³. The pipette, not the isolate, removed one log.</w:t>
            </w:r>
          </w:p>
        </w:tc>
      </w:tr>
    </w:tbl>
    <w:p/>
    <w:p>
      <w:r>
        <w:t xml:space="preserve">The first two rows are the two starting densities that recur in the clinical deposit analysed below, and Section 2 reports what became of the isolates that began at each. The last two are why a written protocol does not standardise measurable depth: the plated volume sets </w:t>
      </w:r>
      <w:r>
        <w:rPr>
          <w:i/>
        </w:rPr>
        <w:t>L</w:t>
      </w:r>
      <w:r>
        <w:t xml:space="preserve">. To make both a four-log endpoint and a low class identifiable against </w:t>
      </w:r>
      <w:r>
        <w:rPr>
          <w:i/>
        </w:rPr>
        <w:t>L</w:t>
      </w:r>
      <w:r>
        <w:t xml:space="preserve"> = 23 per mL, seed above </w:t>
      </w:r>
      <w:r>
        <w:rPr>
          <w:i/>
        </w:rPr>
        <w:t>L</w:t>
      </w:r>
      <w:r>
        <w:t xml:space="preserve"> · max(10⁴, 1/</w:t>
      </w:r>
      <w:r>
        <w:rPr>
          <w:i/>
        </w:rPr>
        <w:t>c</w:t>
      </w:r>
      <w:r>
        <w:t>₁) = 230 000 per mL, or choose a shallower endpoint.</w:t>
      </w:r>
    </w:p>
    <w:p>
      <w:pPr>
        <w:spacing w:before="240"/>
      </w:pPr>
      <w:r>
        <w:rPr>
          <w:b/>
          <w:sz w:val="24"/>
        </w:rPr>
        <w:t>Results</w:t>
      </w:r>
    </w:p>
    <w:p>
      <w:pPr>
        <w:spacing w:before="240"/>
      </w:pPr>
      <w:r>
        <w:rPr>
          <w:b/>
          <w:sz w:val="22"/>
        </w:rPr>
        <w:t>1. Rifampicin tolerance in 217 clinical isolates is scored against an unreported assay floor</w:t>
      </w:r>
    </w:p>
    <w:p>
      <w:r>
        <w:t>Most-probable-number (MPN) readings take only the discrete values of an MPN table (5, 6), a fixed ladder of rungs, not a continuous scale. The day-5 column does not taper towards zero. It stops. Eighteen isolates sit at exactly 23 per mL in the 15-day panel and six in the 60-day panel, and nothing in the file lies below that (Fig. 1A). That is a floor, not a tail, and it is treated as one throughout.</w:t>
      </w:r>
    </w:p>
    <w:p>
      <w:r>
        <w:t>Each isolate therefore carries a fixed budget of killing the assay can see. At 15 days of prior culture the starting densities run from 2,300 to 61,000,000 per mL (3.36 to 7.79 log10), so headroom, the distance from the starting density down to the floor, runs from 2.00 to 6.42 log10 (Fig. 1B, Table 1): both spans are the same 4.42 log10.</w:t>
      </w:r>
    </w:p>
    <w:p>
      <w:r>
        <w:t xml:space="preserve">Against that budget the three deposited endpoints behave very differently. Every isolate has room for a 90 or a 99 per cent reduction: 0 of 217 fall short in either case. </w:t>
      </w:r>
      <w:r>
        <w:rPr>
          <w:b/>
        </w:rPr>
        <w:t>Thirty-three of 217 isolates (15.2 per cent) lack the headroom for the 99.99 per cent endpoint</w:t>
      </w:r>
      <w:r>
        <w:t>, a four-log reduction that was unobservable for them before rifampicin was added.</w:t>
      </w:r>
    </w:p>
    <w:p>
      <w:r>
        <w:t xml:space="preserve">All 33 are recorded as not having reached the endpoint, sitting at the </w:t>
      </w:r>
      <w:r>
        <w:rPr>
          <w:b/>
        </w:rPr>
        <w:t>assay ceiling</w:t>
      </w:r>
      <w:r>
        <w:t>: a census rather than an estimate, since the floor censors the count while the ceiling censors time, an isolate not yet at its endpoint after six days being recorded at the last day rather than the day it would have reached. Among the 184 isolates that did have four logs of headroom, 162 are also at the ceiling, 88.0 per cent.</w:t>
      </w:r>
    </w:p>
    <w:p>
      <w:pPr>
        <w:spacing w:before="240"/>
      </w:pPr>
      <w:r>
        <w:rPr>
          <w:b/>
          <w:sz w:val="22"/>
        </w:rPr>
        <w:t>2. The same floor-level reading yields opposite tolerance labels depending on starting density</w:t>
      </w:r>
    </w:p>
    <w:p>
      <w:r>
        <w:t>The deposited tolerance level is a cut-off on the recorded surviving fraction, with no overlap between classes. The thresholds themselves are not deposited; recovered here, at day 5 and 15 days of prior culture, low tolerance covers fractions below 10⁻³, medium 10⁻³ to 10⁻², high above 10⁻². Those cuts reproduce every usable class in the file, 203 of 203 (Table S2). Usable means the 203 of 217 isolates whose label is one of the three ordered classes; the other 14 carry the "MDR" category, which no ordered analysis can place (Table S3). What follows is an argument about the fraction the assay recorded, not about an independent clinical judgement.</w:t>
      </w:r>
    </w:p>
    <w:p>
      <w:r>
        <w:t xml:space="preserve">Eighteen isolates ended at the floor. They share one reported floor-level observation, but their true final counts are unknown below the floor, so the assay cannot tell their surviving burdens apart down there. That is not the same as saying they were killed to the same degree. Their starting densities span 265-fold, from 23,000 to 6.1 × 10⁶ per mL, so the same terminal reading implies a different range of compatible reductions in each: at least 3.00 log reduction for the isolate that began at 23,000, at least 5.42 logs for the one that began at 6.1 × 10⁶, and in either case the true reduction may be anything from that bound down to complete kill. What the deposit records instead is a single number per isolate, </w:t>
      </w:r>
      <w:r>
        <w:rPr>
          <w:i/>
        </w:rPr>
        <w:t>L</w:t>
      </w:r>
      <w:r>
        <w:t>/</w:t>
      </w:r>
      <w:r>
        <w:rPr>
          <w:i/>
        </w:rPr>
        <w:t>N₀</w:t>
      </w:r>
      <w:r>
        <w:t>, and those recorded fractions span the same 265-fold, from 3.8 × 10⁻⁶ to 1.0 × 10⁻³ (Fig. 1C), because that is what the ratio is. They are upper bounds on survival, not measurements of it.</w:t>
      </w:r>
    </w:p>
    <w:p>
      <w:r>
        <w:t xml:space="preserve">The labels those eighteen received differ accordingly. Six isolates that began at 23,000 per mL recorded a fraction of 10⁻³ and were classified </w:t>
      </w:r>
      <w:r>
        <w:rPr>
          <w:b/>
        </w:rPr>
        <w:t>medium</w:t>
      </w:r>
      <w:r>
        <w:t xml:space="preserve"> tolerance; twelve that began at 230,000 or above recorded 10⁻⁴ or less and were classified </w:t>
      </w:r>
      <w:r>
        <w:rPr>
          <w:b/>
        </w:rPr>
        <w:t>low</w:t>
      </w:r>
      <w:r>
        <w:t>. A single cut on the starting density alone reproduces all eighteen (Table 2): once a reading is censored at the floor, the starting density fixes which label the published rule is able to return.</w:t>
      </w:r>
    </w:p>
    <w:p>
      <w:pPr>
        <w:spacing w:before="240"/>
      </w:pPr>
      <w:r>
        <w:rPr>
          <w:b/>
          <w:sz w:val="22"/>
        </w:rPr>
        <w:t>3. The floor predicts, before rifampicin is added, which isolates will be mislabeled</w:t>
      </w:r>
    </w:p>
    <w:p>
      <w:r>
        <w:t>Sections 1 and 2 counted isolates. The two boundaries derived in the Methods do more: given only the floor, the class thresholds and each isolate's starting density, they say in advance which isolates are affected, before any day-5 reading is used.</w:t>
      </w:r>
    </w:p>
    <w:p>
      <w:r>
        <w:t xml:space="preserve">For this assay </w:t>
      </w:r>
      <w:r>
        <w:rPr>
          <w:i/>
        </w:rPr>
        <w:t>N</w:t>
      </w:r>
      <w:r>
        <w:t xml:space="preserve">_reach = 23 × 10⁴ = 230,000 per mL and </w:t>
      </w:r>
      <w:r>
        <w:rPr>
          <w:i/>
        </w:rPr>
        <w:t>N</w:t>
      </w:r>
      <w:r>
        <w:t>_id = 23/10⁻³ = 23,000 per mL. Applied to the 15-day panel, the first predicts the 33 isolates unable to reach the 99.99 per cent endpoint; the second predicts that of the eighteen isolates whose reading rests on the floor, twelve have only the lowest class compatible and six have more than one. Those are the three counts Sections 1 and 2 report.</w:t>
      </w:r>
    </w:p>
    <w:p>
      <w:r>
        <w:t>Neither boundary predicts which isolates reach the floor; that depends on what rifampicin does. Both predict what a reading at the floor can be made to mean once it happens, and there the agreement with the deposit is exact, isolate by isolate: the set the algebra says has a single compatible class and the set the deposit records in the lowest class are the same set.</w:t>
      </w:r>
    </w:p>
    <w:p>
      <w:r>
        <w:t xml:space="preserve">What is sharp is the boundary case. Six isolates sit at exactly 23,000 per mL, which is </w:t>
      </w:r>
      <w:r>
        <w:rPr>
          <w:i/>
        </w:rPr>
        <w:t>N</w:t>
      </w:r>
      <w:r>
        <w:t xml:space="preserve">_id itself. For them </w:t>
      </w:r>
      <w:r>
        <w:rPr>
          <w:i/>
        </w:rPr>
        <w:t>L</w:t>
      </w:r>
      <w:r>
        <w:t>/</w:t>
      </w:r>
      <w:r>
        <w:rPr>
          <w:i/>
        </w:rPr>
        <w:t>N₀</w:t>
      </w:r>
      <w:r>
        <w:t xml:space="preserve"> equals </w:t>
      </w:r>
      <w:r>
        <w:rPr>
          <w:i/>
        </w:rPr>
        <w:t>c</w:t>
      </w:r>
      <w:r>
        <w:t xml:space="preserve">₁ exactly, the interval [0, </w:t>
      </w:r>
      <w:r>
        <w:rPr>
          <w:i/>
        </w:rPr>
        <w:t>L</w:t>
      </w:r>
      <w:r>
        <w:t>/</w:t>
      </w:r>
      <w:r>
        <w:rPr>
          <w:i/>
        </w:rPr>
        <w:t>N₀</w:t>
      </w:r>
      <w:r>
        <w:t>] touches the threshold from below and spans two classes, and the strict inequality fails. Those six are precisely the six the deposit records as medium rather than low. A rule written with the inequality the other way would have called all six low and been wrong six times out of six. That is a test the arithmetic could have failed and did not, and it is what licenses using the boundary in advance: given a floor, a set of thresholds and a starting density, the affected isolates can be named before any reading is taken.</w:t>
      </w:r>
    </w:p>
    <w:p>
      <w:r>
        <w:t>The empirical findings are therefore consequences of the definitions rather than properties of this deposit: any dataset reporting a starting density, a floor and a threshold classification can be checked against them.</w:t>
      </w:r>
    </w:p>
    <w:p>
      <w:pPr>
        <w:spacing w:before="240"/>
      </w:pPr>
      <w:r>
        <w:rPr>
          <w:b/>
          <w:sz w:val="22"/>
        </w:rPr>
        <w:t>4. Isoniazid-resistant isolates appear more rifampicin-tolerant, but the effect tracks a thinner inoculum, not resistance</w:t>
      </w:r>
    </w:p>
    <w:p>
      <w:r>
        <w:t>There are two candidate predictors of the deposited label, each tested at two culture ages and two endpoint depths, eight tests in all. Eight tests on one question will throw up a false positive on their own, so they are corrected together as one family. Two survive (Table S4).</w:t>
      </w:r>
    </w:p>
    <w:p>
      <w:r>
        <w:t xml:space="preserve">The label tracks the </w:t>
      </w:r>
      <w:r>
        <w:rPr>
          <w:b/>
        </w:rPr>
        <w:t>growth rate</w:t>
      </w:r>
      <w:r>
        <w:t xml:space="preserve"> of the isolate. Slower growth goes with a higher tolerance class, and it survives adjustment for starting density (OR 1.096 per day of time to OD 0.4, 95 per cent CI 1.032 to 1.164, p = 0.0030, n = 202; unadjusted OR 1.126, 1.062 to 1.193). The label also tracks </w:t>
      </w:r>
      <w:r>
        <w:rPr>
          <w:b/>
        </w:rPr>
        <w:t>isoniazid resistance</w:t>
      </w:r>
      <w:r>
        <w:t>, until starting density enters the model. Unadjusted, a resistant isolate has 2.32 times the odds of a higher tolerance class (1.30 to 4.12, p = 0.0042); adjusted, the odds ratio falls to 1.31 (0.67 to 2.57, p = 0.42), and the interval no longer excludes one. Starting density is the strongest term in the file: every ten-fold rise in the starting MPN halves the odds of a higher tolerance class (OR 0.480, 0.340 to 0.677, p = 2.9 × 10⁻⁵).</w:t>
      </w:r>
    </w:p>
    <w:p>
      <w:r>
        <w:t>Why the adjustment does that is measurable. Isoniazid-resistant isolates go into this assay at 5.36 log10 against 6.36 for susceptible isolates, ten-fold thinner (Mann-Whitney p = 9.1 × 10⁻¹⁴ (7)), and 22 of the 84 resistant isolates carrying an ordered label lack the headroom for the deepest endpoint, 26.2 per cent, against 9 of 119 susceptible, 7.6 per cent. They are one log short of observable killing before the experiment begins.</w:t>
      </w:r>
    </w:p>
    <w:p>
      <w:r>
        <w:t>In that stratum the two associations part company. Growth holds and still survives correction (OR 1.116, 1.040 to 1.198, p = 0.0024). Resistance returns OR 2.11 (1.07 to 4.16, p = 0.031) nominally, but ranks second in the family of eight and fails its Benjamini-Hochberg critical value of 0.0125. The resistance association therefore leans on isolates that are not independent of one another, and it is already the association that starting density explains away; we report it as the weaker of the two on both counts.</w:t>
      </w:r>
    </w:p>
    <w:p>
      <w:pPr>
        <w:spacing w:before="240"/>
      </w:pPr>
      <w:r>
        <w:rPr>
          <w:b/>
          <w:sz w:val="22"/>
        </w:rPr>
        <w:t>5. Six laboratories given one M. tuberculosis protocol still see six different assay floors</w:t>
      </w:r>
    </w:p>
    <w:p>
      <w:r>
        <w:t>If the effect is a property of assay geometry rather than of clinical sampling, it should appear where one protocol, one strain and one stock are handed out deliberately. Van Wijk and colleagues (2023) ran exactly that exercise, sending a single stock of H37Rv to six blinded laboratories under one written protocol (8, 9). It does.</w:t>
      </w:r>
    </w:p>
    <w:p>
      <w:r>
        <w:t>At ten times the minimum inhibitory concentration of moxifloxacin all six laboratories return a positive kill rate, spanning 5.2-fold, from 0.090 to 0.464 log10 CFU/mL per day (Fig. 2A, Table S5).</w:t>
      </w:r>
    </w:p>
    <w:p>
      <w:r>
        <w:t>The two orderings do not correspond. Rank the laboratories by starting density and the three lowest are exactly the three that recorded crossings, the three highest exactly the three that did not, without exception, a split with probability 1/20 under chance alone, reported as an ordering and not a test (Table S6). Rank them by kill rate and there is no such correspondence (Fig. 2B). Institute F has the highest starting density at 6.53 log10 among treated flasks of this arm, kills faster than four of the other five at 0.223 log10 per day, and records no crossing. Institute E returns the slowest rate of all at 0.090 and also records none.</w:t>
      </w:r>
    </w:p>
    <w:p>
      <w:pPr>
        <w:spacing w:before="240"/>
      </w:pPr>
      <w:r>
        <w:rPr>
          <w:b/>
          <w:sz w:val="22"/>
        </w:rPr>
        <w:t>6. The two boundaries hold in a deposit never used to derive them, in a different organism and drug</w:t>
      </w:r>
    </w:p>
    <w:p>
      <w:r>
        <w:t xml:space="preserve">Dubey and colleagues (2026) report amoxicillin-clavulanate against </w:t>
      </w:r>
      <w:r>
        <w:rPr>
          <w:i/>
        </w:rPr>
        <w:t>Escherichia coli</w:t>
      </w:r>
      <w:r>
        <w:t xml:space="preserve"> in a hollow-fibre system (10, 11). Their Methods state 100 µL plated with counts per mL, so </w:t>
      </w:r>
      <w:r>
        <w:rPr>
          <w:i/>
        </w:rPr>
        <w:t>L</w:t>
      </w:r>
      <w:r>
        <w:t xml:space="preserve"> = 10 CFU/mL is derived rather than inferred, and the file corroborates the derivation: all 229 genuine counts are multiples of ten, the smallest exactly ten, while 69 further entries read as one, which no 100 µL plate can produce and which are the deposit's placeholder for below the floor.</w:t>
      </w:r>
    </w:p>
    <w:p>
      <w:r>
        <w:t>Across the 20 cultures with a measured day-zero density, headroom runs from 4.85 to 5.45 log10 (Table S7). Endpoints at 1, 2, 3 and 4 logs are reachable for every culture; a 5-log endpoint is unreachable for 5 of 20, a 6-log endpoint for all 20. On data it was not built from, the framework locates the depth at which a sterilisation claim stops being demonstrable.</w:t>
      </w:r>
    </w:p>
    <w:p>
      <w:r>
        <w:t xml:space="preserve">Two features of that deposit are the failure modes this framework is meant to catch. Its Methods give a nominal inoculum of 10⁵ CFU/mL while the file measures a median of 1.215 × 10⁶, so taking </w:t>
      </w:r>
      <w:r>
        <w:rPr>
          <w:i/>
        </w:rPr>
        <w:t>N₀</w:t>
      </w:r>
      <w:r>
        <w:t xml:space="preserve"> from the Methods rather than the data would have placed a full order of magnitude into every boundary. And its treated arm reads at or below the floor already at day zero while the paired control reads about 10⁶; the file cannot distinguish a sample drawn after exposure from a placeholder or a transcription error, so the reading is flagged rather than treated as a measured time zero.</w:t>
      </w:r>
    </w:p>
    <w:p>
      <w:pPr>
        <w:spacing w:before="240"/>
      </w:pPr>
      <w:r>
        <w:rPr>
          <w:b/>
          <w:sz w:val="22"/>
        </w:rPr>
        <w:t>7. A second distortion in M. tuberculosis: bacilli invisible to culture, not just below the floor</w:t>
      </w:r>
    </w:p>
    <w:p>
      <w:r>
        <w:t>Everything above is about the floor. One published observation in this organism shows that the floor is not the only reason a colony count understates the population, and the two failures must not be confused.</w:t>
      </w:r>
    </w:p>
    <w:p>
      <w:r>
        <w:t>Evangelopoulos and colleagues counted the same mouse lungs three ways, colony count, a molecular bacterial load from 16S rRNA, and a most probable number, on their way to a different question (12). Under the deepest regimens the colony count reads zero in every animal: in three arms, 18 lungs in all, the plate declared every lung sterile while the most probable number on that same tissue ran from 1,450 to 18,700 per lung. The molecular load can be dismissed as nucleic acid outliving its owner; the most probable number cannot, because it is a culture, and growth in a dilution series requires an organism that is alive and culturable.</w:t>
      </w:r>
    </w:p>
    <w:p>
      <w:r>
        <w:t xml:space="preserve">That gap is not the detection floor, and the arithmetic says so. For censoring to explain a plate reading of zero against 1,450 organisms in the same tissue, the colony count's floor would have to sit above 1,450 per lung, far less of the homogenate than any lung protocol plates. This is differential culturability, a described phenotype of </w:t>
      </w:r>
      <w:r>
        <w:rPr>
          <w:i/>
        </w:rPr>
        <w:t>M. tuberculosis</w:t>
      </w:r>
      <w:r>
        <w:t xml:space="preserve"> with a literature of its own: resuscitation-promoting-factor-dependent bacilli dominate pre-treatment sputum and rise during chemotherapy (13), both dependent and independent differentially culturable populations are recovered from patients whose solid-medium cultures return nothing (14), and the mechanism has been reproduced experimentally, rifamycin action on ribonucleic acid (RNA) polymerase converting a starved population to over 90 per cent differentially detectable in vitro (15), the same drug class every arm of the Evangelopoulos regimen carries.</w:t>
      </w:r>
    </w:p>
    <w:p>
      <w:r>
        <w:t>Reachability and identifiability are arithmetic on the plated volume; they would hold in an assay with perfect culturability. Differential culturability is biology, acts on the numerator rather than the floor, and nothing here derives or measures it. Neither depends on the other, and they push the same way: a count that is both floored and culture-selective understates the surviving population twice over, and the mouse model that decides which regimens enter clinical trials reads out in colony counts, in exactly this region.</w:t>
      </w:r>
    </w:p>
    <w:p>
      <w:r>
        <w:t xml:space="preserve">That deposit establishes no floor of its own. Five further </w:t>
      </w:r>
      <w:r>
        <w:rPr>
          <w:i/>
        </w:rPr>
        <w:t>M. tuberculosis</w:t>
      </w:r>
      <w:r>
        <w:t xml:space="preserve"> deposits in the same screen do, and they are not reassuring. Across those five, sputum from pulmonary tuberculosis, axenic culture, an auxotrophic H37Rv panel and two drug-development series, with floors from 13 to 200 CFU/mL, </w:t>
      </w:r>
      <w:r>
        <w:rPr>
          <w:b/>
        </w:rPr>
        <w:t>184 of 310 series could not have demonstrated a four-log reduction however completely the drug worked, and 240 of 310 could not have demonstrated five</w:t>
      </w:r>
      <w:r>
        <w:t xml:space="preserve"> (Table S8); one could not have shown four logs in a single one of its 123 series. None of these five carries the analysis above, and none is among the five deposits reanalysed in this paper; they say the reachability problem is not a property of one clinical panel.</w:t>
      </w:r>
    </w:p>
    <w:p>
      <w:pPr>
        <w:spacing w:before="240"/>
      </w:pPr>
      <w:r>
        <w:rPr>
          <w:b/>
          <w:sz w:val="22"/>
        </w:rPr>
        <w:t>8. A prospective E. coli experiment confirms the floor artifact: one culture, two plated volumes, two conflicting labels</w:t>
      </w:r>
    </w:p>
    <w:p>
      <w:r>
        <w:t xml:space="preserve">Every result above reads data somebody else generated for another purpose. This one reads an experiment built to try to break the two boundaries </w:t>
      </w:r>
      <w:r>
        <w:rPr>
          <w:i/>
        </w:rPr>
        <w:t>N</w:t>
      </w:r>
      <w:r>
        <w:t xml:space="preserve">_reach and </w:t>
      </w:r>
      <w:r>
        <w:rPr>
          <w:i/>
        </w:rPr>
        <w:t>N</w:t>
      </w:r>
      <w:r>
        <w:t xml:space="preserve">_id, with its predictions written down before a plate was counted. </w:t>
      </w:r>
      <w:r>
        <w:rPr>
          <w:i/>
        </w:rPr>
        <w:t>Escherichia coli</w:t>
      </w:r>
      <w:r>
        <w:t xml:space="preserve"> ATCC 25922, the reference strain the standard names for quality control, against ciprofloxacin at ten times the concentration that stops it growing. Three seeding densities, two plated volumes, three flasks each, 216 plate readings.</w:t>
      </w:r>
    </w:p>
    <w:p>
      <w:r>
        <w:t xml:space="preserve">The middle arm was seeded on purpose at the 5 × 10⁵ per mL the standard specifies. The densities actually reached were 6.4 × 10⁴, 4.4 × 10⁵ and 3.8 × 10⁶ per mL as arm means, but </w:t>
      </w:r>
      <w:r>
        <w:rPr>
          <w:i/>
        </w:rPr>
        <w:t>N</w:t>
      </w:r>
      <w:r>
        <w:t xml:space="preserve">₀ is a measurement made once per culture rather than a setting the protocol supplies, so headroom belongs to a flask and everything below is reported per flask. At the 100 µL plating the low arm's three flasks have 4.19, 4.11 and 4.00 logs of headroom, the last exactly at the four-log endpoint. </w:t>
      </w:r>
      <w:r>
        <w:rPr>
          <w:b/>
        </w:rPr>
        <w:t>At the standard inoculum plated at 10 µL, the deepest reduction the three flasks could report ran from 3.71 to 3.93 logs</w:t>
      </w:r>
      <w:r>
        <w:t>, while those same three cultures plated at 100 µL ran from 4.88 to 5.05 (Fig. S5B, Table S9). Every flask is paired with itself across the two platings.</w:t>
      </w:r>
    </w:p>
    <w:p>
      <w:r>
        <w:t xml:space="preserve">That much is arithmetic. So is the next step. When both platings of one sample rest on their own floors, the two fractions written down are </w:t>
      </w:r>
      <w:r>
        <w:rPr>
          <w:i/>
        </w:rPr>
        <w:t>L</w:t>
      </w:r>
      <w:r>
        <w:t>₁/</w:t>
      </w:r>
      <w:r>
        <w:rPr>
          <w:i/>
        </w:rPr>
        <w:t>N</w:t>
      </w:r>
      <w:r>
        <w:t xml:space="preserve">₀ and </w:t>
      </w:r>
      <w:r>
        <w:rPr>
          <w:i/>
        </w:rPr>
        <w:t>L</w:t>
      </w:r>
      <w:r>
        <w:t>₂/</w:t>
      </w:r>
      <w:r>
        <w:rPr>
          <w:i/>
        </w:rPr>
        <w:t>N</w:t>
      </w:r>
      <w:r>
        <w:t xml:space="preserve">₀, so they can fall either side of a class threshold and give one culture two labels. </w:t>
      </w:r>
      <w:r>
        <w:rPr>
          <w:b/>
        </w:rPr>
        <w:t>The quantity that could have come out zero is how often a real experiment lands in the window where those two fractions straddle the cut</w:t>
      </w:r>
      <w:r>
        <w:t xml:space="preserve">, and it depends on where the cut is (Fig. S5C, Table S10). Put the cut at one per cent and the window is nearly shut. Put it at one in a thousand, where the clinical classification above cuts its lowest class, and six of 54 sample-times receive two different labels from one culture, one in nine. That cut is imported from the tuberculosis classification; it serves here as a ruler for the window's width, not a claim about </w:t>
      </w:r>
      <w:r>
        <w:rPr>
          <w:i/>
        </w:rPr>
        <w:t>E. coli</w:t>
      </w:r>
      <w:r>
        <w:t xml:space="preserve"> biology.</w:t>
      </w:r>
    </w:p>
    <w:p>
      <w:pPr>
        <w:spacing w:before="240"/>
      </w:pPr>
      <w:r>
        <w:rPr>
          <w:b/>
          <w:sz w:val="24"/>
        </w:rPr>
        <w:t>Discussion</w:t>
      </w:r>
    </w:p>
    <w:p>
      <w:r>
        <w:t>Every clinical microbiologist knows that a negative culture taken under antibiotic exposure is not proof of sterility. This paper reports that the number brought in to replace that judgement carries the same defect, and once it is a number, it is harder to see.</w:t>
      </w:r>
    </w:p>
    <w:p>
      <w:r>
        <w:t xml:space="preserve">The standard is not silent on that choice, and this is the paper's sharpest finding rather than an awkwardness for it. M26-A's own section 1.3.2.5, </w:t>
      </w:r>
      <w:r>
        <w:rPr>
          <w:i/>
        </w:rPr>
        <w:t>Volume Transferred</w:t>
      </w:r>
      <w:r>
        <w:t>, ties the volume to the endpoint with a counting rule: after the defined 99.9 per cent killing, at least ten colonies must remain (16) (for a standard inoculum of 5 × 10⁵ per mL that means at least 20 µL streaked, so a 10 µL streak fails the rule), and section 3.1 separately requires the smallest detectable count to be established by serial dilution. A guideline written in 1999 already required both numbers this paper asks for. The deposits reanalysed here do not meet it, not for lack of care but because the endpoint moved: M26-A nowhere contemplates a four-log call, and the volume rule did not travel with the deeper endpoints.</w:t>
      </w:r>
    </w:p>
    <w:p>
      <w:r>
        <w:t>Take the assay's contribution out and what is left makes biological sense. Growth state predicts the tolerance class before and after adjustment for starting density (isoniazid needs KatG and active cell-wall synthesis (17), rifampicin needs transcription (18)), and a population that is not dividing offers less of what these drugs act on. The classification is reading physiological state, not drug susceptibility.</w:t>
      </w:r>
    </w:p>
    <w:p>
      <w:r>
        <w:t>That axis is the one tuberculosis drug development already leans on. Killing assays of this design rank regimens before they enter trials, and tolerance followed in patients is now being read as within-host evolution (19). If a tolerance classification is partly an inoculum measurement, conclusions drawn from it, that one regimen sterilises faster than another, or that a patient's isolates are becoming more tolerant over therapy, are in part conclusions about how the assay was set up. The correction applied here does not remove the biology; it aims it at the right target. The phenotype that survives the correction is growth state, real, targetable and directly measurable, unlike a fraction read off a floor.</w:t>
      </w:r>
    </w:p>
    <w:p>
      <w:r>
        <w:t>The prospective experiment has a limitation of its own, and it is the one a reader of this paper should raise first. Its samples were diluted in saline and plated; they were not washed, filtered or treated to inactivate the drug, and no carryover control was run. Antibiotic carried onto the plate suppresses colony formation without killing anything, the same class of counting artefact this paper is about, and at the shallow dilutions a culture near its floor is read on, dilution is the only thing containing it. The design is conservative in this respect rather than clean: the larger plated volume carries ten times more drug to the plate, so carryover would shrink the very difference between the two platings that Section 8 reports, not manufacture it. But the experiment cannot exclude carryover, and a repetition should include the control that would.</w:t>
      </w:r>
    </w:p>
    <w:p>
      <w:r>
        <w:t>Several further limitations bound what the analysis can establish; each points at the experiment that would settle the question, and the ones bearing on the claims made are given here, with the rest in the supplement.</w:t>
      </w:r>
    </w:p>
    <w:p>
      <w:r>
        <w:t xml:space="preserve">This paper has already acted on the first rather than merely declaring it. Flasks from one laboratory share a starting culture; repeat isolates come from a patient already counted. Every conclusion from the two primary deposits was recomputed at the level where the observations really are independent, listed one line at a time rather than summarised (Table S6): twenty survive unchanged, six survive with much wider uncertainty, five do not survive and </w:t>
      </w:r>
      <w:r>
        <w:rPr>
          <w:b/>
        </w:rPr>
        <w:t>have already been removed from the text above</w:t>
      </w:r>
      <w:r>
        <w:t>, and one is withdrawn because the null it was tested against was already false before any data were seen. The ledger is printed so a reader can check the dropping was done rather than promised.</w:t>
      </w:r>
    </w:p>
    <w:p>
      <w:r>
        <w:t>The 15-day and 60-day panels of the clinical deposit contain the same isolates. The comparison between panels is therefore not independent, and it bounds the evidence for a difference rather than establishing it.</w:t>
      </w:r>
    </w:p>
    <w:p>
      <w:r>
        <w:rPr>
          <w:b/>
        </w:rPr>
        <w:t>Choose the depth of the endpoint to fit the headroom actually available, rather than densifying the inoculum merely to buy more.</w:t>
      </w:r>
      <w:r>
        <w:t xml:space="preserve"> The inoculum this needs can be worked out before the experiment: seeding above </w:t>
      </w:r>
      <w:r>
        <w:rPr>
          <w:i/>
        </w:rPr>
        <w:t>L</w:t>
      </w:r>
      <w:r>
        <w:t xml:space="preserve"> · max(10^</w:t>
      </w:r>
      <w:r>
        <w:rPr>
          <w:i/>
        </w:rPr>
        <w:t>q</w:t>
      </w:r>
      <w:r>
        <w:t>, 1/</w:t>
      </w:r>
      <w:r>
        <w:rPr>
          <w:i/>
        </w:rPr>
        <w:t>c</w:t>
      </w:r>
      <w:r>
        <w:t>₁) makes both failure modes impossible, the endpoint that was never reachable and the last count that lands on the floor; for this assay that is 230,000 per mL. Seeding higher also changes the experiment, because a denser culture is a different physiological state, and physiological state is what the tolerance label tracks, so where the deep endpoint is wanted, lower the assay floor instead; where the headroom will not carry it either way, the shallower endpoint is the honest one, and growth state belongs on the report whichever is chosen. This is a design decision that is currently not being made.</w:t>
      </w:r>
    </w:p>
    <w:p>
      <w:r>
        <w:rPr>
          <w:b/>
        </w:rPr>
        <w:t>Treat an endpoint at the floor as a bound, not a value.</w:t>
      </w:r>
      <w:r>
        <w:t xml:space="preserve"> Analysed as a measurement it manufactures differences between isolates whose final viable burdens the assay could not tell apart, and the same censored reading stands for a different demonstrated kill at every starting density.</w:t>
      </w:r>
    </w:p>
    <w:p>
      <w:r>
        <w:rPr>
          <w:b/>
        </w:rPr>
        <w:t>Fix the inoculum, or adjust for it, before comparing tolerance across groups.</w:t>
      </w:r>
      <w:r>
        <w:t xml:space="preserve"> The comparison that motivated this work, resistant against susceptible isolates, is confounded by a ten-fold difference in starting density, and nobody knows why that difference is there. Until it is understood, group comparisons of tolerance in clinical isolates should carry the starting density as a covariate.</w:t>
      </w:r>
    </w:p>
    <w:p>
      <w:r>
        <w:rPr>
          <w:b/>
        </w:rPr>
        <w:t>Box 2. The minimum information a time-kill assay must report.</w:t>
      </w:r>
      <w:r>
        <w:t xml:space="preserve"> Five fields that make a reported tolerance endpoint recomputable by a reader. Each is produced by the experiment as run; none asks for new apparatus. What they cost is visible from the other side: of the 78 candidate time-kill datasets assembled for this study, 45 were inspected in full, and of the 40 distinct literature deposits among them, 32 state no assay floor by any route, so most published endpoints cannot be recomputed against their own measurement.</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pPr>
              <w:spacing w:line="240" w:lineRule="auto" w:after="40"/>
            </w:pPr>
            <w:r>
              <w:rPr>
                <w:b/>
                <w:sz w:val="18"/>
              </w:rPr>
            </w:r>
            <w:r>
              <w:rPr>
                <w:b/>
                <w:sz w:val="18"/>
              </w:rPr>
              <w:t>#</w:t>
            </w:r>
          </w:p>
        </w:tc>
        <w:tc>
          <w:tcPr>
            <w:tcW w:type="dxa" w:w="2340"/>
          </w:tcPr>
          <w:p>
            <w:pPr>
              <w:spacing w:line="240" w:lineRule="auto" w:after="40"/>
            </w:pPr>
            <w:r>
              <w:rPr>
                <w:b/>
                <w:sz w:val="18"/>
              </w:rPr>
            </w:r>
            <w:r>
              <w:rPr>
                <w:b/>
                <w:sz w:val="18"/>
              </w:rPr>
              <w:t>Field</w:t>
            </w:r>
          </w:p>
        </w:tc>
        <w:tc>
          <w:tcPr>
            <w:tcW w:type="dxa" w:w="2340"/>
          </w:tcPr>
          <w:p>
            <w:pPr>
              <w:spacing w:line="240" w:lineRule="auto" w:after="40"/>
            </w:pPr>
            <w:r>
              <w:rPr>
                <w:b/>
                <w:sz w:val="18"/>
              </w:rPr>
            </w:r>
            <w:r>
              <w:rPr>
                <w:b/>
                <w:sz w:val="18"/>
              </w:rPr>
              <w:t>What to report</w:t>
            </w:r>
          </w:p>
        </w:tc>
        <w:tc>
          <w:tcPr>
            <w:tcW w:type="dxa" w:w="2340"/>
          </w:tcPr>
          <w:p>
            <w:pPr>
              <w:spacing w:line="240" w:lineRule="auto" w:after="40"/>
            </w:pPr>
            <w:r>
              <w:rPr>
                <w:b/>
                <w:sz w:val="18"/>
              </w:rPr>
            </w:r>
            <w:r>
              <w:rPr>
                <w:b/>
                <w:sz w:val="18"/>
              </w:rPr>
              <w:t>What fails without it</w:t>
            </w:r>
          </w:p>
        </w:tc>
      </w:tr>
      <w:tr>
        <w:tc>
          <w:tcPr>
            <w:tcW w:type="dxa" w:w="2340"/>
          </w:tcPr>
          <w:p>
            <w:pPr>
              <w:spacing w:line="240" w:lineRule="auto" w:after="40"/>
            </w:pPr>
            <w:r>
              <w:rPr>
                <w:sz w:val="18"/>
              </w:rPr>
            </w:r>
            <w:r>
              <w:rPr>
                <w:sz w:val="18"/>
              </w:rPr>
              <w:t>1</w:t>
            </w:r>
          </w:p>
        </w:tc>
        <w:tc>
          <w:tcPr>
            <w:tcW w:type="dxa" w:w="2340"/>
          </w:tcPr>
          <w:p>
            <w:pPr>
              <w:spacing w:line="240" w:lineRule="auto" w:after="40"/>
            </w:pPr>
            <w:r>
              <w:rPr>
                <w:sz w:val="18"/>
              </w:rPr>
            </w:r>
            <w:r>
              <w:rPr>
                <w:sz w:val="18"/>
              </w:rPr>
              <w:t>Starting density</w:t>
            </w:r>
          </w:p>
        </w:tc>
        <w:tc>
          <w:tcPr>
            <w:tcW w:type="dxa" w:w="2340"/>
          </w:tcPr>
          <w:p>
            <w:pPr>
              <w:spacing w:line="240" w:lineRule="auto" w:after="40"/>
            </w:pPr>
            <w:r>
              <w:rPr>
                <w:sz w:val="18"/>
              </w:rPr>
            </w:r>
            <w:r>
              <w:rPr>
                <w:i/>
                <w:sz w:val="18"/>
              </w:rPr>
              <w:t>N</w:t>
            </w:r>
            <w:r>
              <w:rPr>
                <w:sz w:val="18"/>
              </w:rPr>
              <w:t>₀ with its method (viable count or MPN value, not an optical density)</w:t>
            </w:r>
          </w:p>
        </w:tc>
        <w:tc>
          <w:tcPr>
            <w:tcW w:type="dxa" w:w="2340"/>
          </w:tcPr>
          <w:p>
            <w:pPr>
              <w:spacing w:line="240" w:lineRule="auto" w:after="40"/>
            </w:pPr>
            <w:r>
              <w:rPr>
                <w:sz w:val="18"/>
              </w:rPr>
            </w:r>
            <w:r>
              <w:rPr>
                <w:sz w:val="18"/>
              </w:rPr>
              <w:t xml:space="preserve">the endpoint is a fraction of </w:t>
            </w:r>
            <w:r>
              <w:rPr>
                <w:i/>
                <w:sz w:val="18"/>
              </w:rPr>
              <w:t>N</w:t>
            </w:r>
            <w:r>
              <w:rPr>
                <w:sz w:val="18"/>
              </w:rPr>
              <w:t>₀; OD-derived densities disagreed with the measured ones by up to 1.53-fold within one culture here</w:t>
            </w:r>
          </w:p>
        </w:tc>
      </w:tr>
      <w:tr>
        <w:tc>
          <w:tcPr>
            <w:tcW w:type="dxa" w:w="2340"/>
          </w:tcPr>
          <w:p>
            <w:pPr>
              <w:spacing w:line="240" w:lineRule="auto" w:after="40"/>
            </w:pPr>
            <w:r>
              <w:rPr>
                <w:sz w:val="18"/>
              </w:rPr>
            </w:r>
            <w:r>
              <w:rPr>
                <w:sz w:val="18"/>
              </w:rPr>
              <w:t>2</w:t>
            </w:r>
          </w:p>
        </w:tc>
        <w:tc>
          <w:tcPr>
            <w:tcW w:type="dxa" w:w="2340"/>
          </w:tcPr>
          <w:p>
            <w:pPr>
              <w:spacing w:line="240" w:lineRule="auto" w:after="40"/>
            </w:pPr>
            <w:r>
              <w:rPr>
                <w:sz w:val="18"/>
              </w:rPr>
            </w:r>
            <w:r>
              <w:rPr>
                <w:sz w:val="18"/>
              </w:rPr>
              <w:t>Assay floor</w:t>
            </w:r>
          </w:p>
        </w:tc>
        <w:tc>
          <w:tcPr>
            <w:tcW w:type="dxa" w:w="2340"/>
          </w:tcPr>
          <w:p>
            <w:pPr>
              <w:spacing w:line="240" w:lineRule="auto" w:after="40"/>
            </w:pPr>
            <w:r>
              <w:rPr>
                <w:sz w:val="18"/>
              </w:rPr>
            </w:r>
            <w:r>
              <w:rPr>
                <w:i/>
                <w:sz w:val="18"/>
              </w:rPr>
              <w:t>L</w:t>
            </w:r>
            <w:r>
              <w:rPr>
                <w:sz w:val="18"/>
              </w:rPr>
              <w:t xml:space="preserve"> as a value, or the plated volume / dilution design that fixes it</w:t>
            </w:r>
          </w:p>
        </w:tc>
        <w:tc>
          <w:tcPr>
            <w:tcW w:type="dxa" w:w="2340"/>
          </w:tcPr>
          <w:p>
            <w:pPr>
              <w:spacing w:line="240" w:lineRule="auto" w:after="40"/>
            </w:pPr>
            <w:r>
              <w:rPr>
                <w:sz w:val="18"/>
              </w:rPr>
            </w:r>
            <w:r>
              <w:rPr>
                <w:sz w:val="18"/>
              </w:rPr>
              <w:t>nothing deeper than log10(</w:t>
            </w:r>
            <w:r>
              <w:rPr>
                <w:i/>
                <w:sz w:val="18"/>
              </w:rPr>
              <w:t>N</w:t>
            </w:r>
            <w:r>
              <w:rPr>
                <w:sz w:val="18"/>
              </w:rPr>
              <w:t>₀/</w:t>
            </w:r>
            <w:r>
              <w:rPr>
                <w:i/>
                <w:sz w:val="18"/>
              </w:rPr>
              <w:t>L</w:t>
            </w:r>
            <w:r>
              <w:rPr>
                <w:sz w:val="18"/>
              </w:rPr>
              <w:t xml:space="preserve">) was ever visible; without </w:t>
            </w:r>
            <w:r>
              <w:rPr>
                <w:i/>
                <w:sz w:val="18"/>
              </w:rPr>
              <w:t>L</w:t>
            </w:r>
            <w:r>
              <w:rPr>
                <w:sz w:val="18"/>
              </w:rPr>
              <w:t xml:space="preserve"> a failed endpoint is arithmetic</w:t>
            </w:r>
          </w:p>
        </w:tc>
      </w:tr>
      <w:tr>
        <w:tc>
          <w:tcPr>
            <w:tcW w:type="dxa" w:w="2340"/>
          </w:tcPr>
          <w:p>
            <w:pPr>
              <w:spacing w:line="240" w:lineRule="auto" w:after="40"/>
            </w:pPr>
            <w:r>
              <w:rPr>
                <w:sz w:val="18"/>
              </w:rPr>
            </w:r>
            <w:r>
              <w:rPr>
                <w:sz w:val="18"/>
              </w:rPr>
              <w:t>3</w:t>
            </w:r>
          </w:p>
        </w:tc>
        <w:tc>
          <w:tcPr>
            <w:tcW w:type="dxa" w:w="2340"/>
          </w:tcPr>
          <w:p>
            <w:pPr>
              <w:spacing w:line="240" w:lineRule="auto" w:after="40"/>
            </w:pPr>
            <w:r>
              <w:rPr>
                <w:sz w:val="18"/>
              </w:rPr>
            </w:r>
            <w:r>
              <w:rPr>
                <w:sz w:val="18"/>
              </w:rPr>
              <w:t>Censoring convention</w:t>
            </w:r>
          </w:p>
        </w:tc>
        <w:tc>
          <w:tcPr>
            <w:tcW w:type="dxa" w:w="2340"/>
          </w:tcPr>
          <w:p>
            <w:pPr>
              <w:spacing w:line="240" w:lineRule="auto" w:after="40"/>
            </w:pPr>
            <w:r>
              <w:rPr>
                <w:sz w:val="18"/>
              </w:rPr>
            </w:r>
            <w:r>
              <w:rPr>
                <w:sz w:val="18"/>
              </w:rPr>
              <w:t>what is written when nothing grows: zero, the floor value, ND, or the lowest table rung</w:t>
            </w:r>
          </w:p>
        </w:tc>
        <w:tc>
          <w:tcPr>
            <w:tcW w:type="dxa" w:w="2340"/>
          </w:tcPr>
          <w:p>
            <w:pPr>
              <w:spacing w:line="240" w:lineRule="auto" w:after="40"/>
            </w:pPr>
            <w:r>
              <w:rPr>
                <w:sz w:val="18"/>
              </w:rPr>
            </w:r>
            <w:r>
              <w:rPr>
                <w:sz w:val="18"/>
              </w:rPr>
              <w:t>the convention decides whether a floor reading is a bound or a measurement</w:t>
            </w:r>
          </w:p>
        </w:tc>
      </w:tr>
      <w:tr>
        <w:tc>
          <w:tcPr>
            <w:tcW w:type="dxa" w:w="2340"/>
          </w:tcPr>
          <w:p>
            <w:pPr>
              <w:spacing w:line="240" w:lineRule="auto" w:after="40"/>
            </w:pPr>
            <w:r>
              <w:rPr>
                <w:sz w:val="18"/>
              </w:rPr>
            </w:r>
            <w:r>
              <w:rPr>
                <w:sz w:val="18"/>
              </w:rPr>
              <w:t>4</w:t>
            </w:r>
          </w:p>
        </w:tc>
        <w:tc>
          <w:tcPr>
            <w:tcW w:type="dxa" w:w="2340"/>
          </w:tcPr>
          <w:p>
            <w:pPr>
              <w:spacing w:line="240" w:lineRule="auto" w:after="40"/>
            </w:pPr>
            <w:r>
              <w:rPr>
                <w:sz w:val="18"/>
              </w:rPr>
            </w:r>
            <w:r>
              <w:rPr>
                <w:sz w:val="18"/>
              </w:rPr>
              <w:t>Endpoint rule</w:t>
            </w:r>
          </w:p>
        </w:tc>
        <w:tc>
          <w:tcPr>
            <w:tcW w:type="dxa" w:w="2340"/>
          </w:tcPr>
          <w:p>
            <w:pPr>
              <w:spacing w:line="240" w:lineRule="auto" w:after="40"/>
            </w:pPr>
            <w:r>
              <w:rPr>
                <w:sz w:val="18"/>
              </w:rPr>
            </w:r>
            <w:r>
              <w:rPr>
                <w:sz w:val="18"/>
              </w:rPr>
              <w:t xml:space="preserve">the </w:t>
            </w:r>
            <w:r>
              <w:rPr>
                <w:i/>
                <w:sz w:val="18"/>
              </w:rPr>
              <w:t>q</w:t>
            </w:r>
            <w:r>
              <w:rPr>
                <w:sz w:val="18"/>
              </w:rPr>
              <w:t xml:space="preserve"> in MDK_q and the interpolation between sample times</w:t>
            </w:r>
          </w:p>
        </w:tc>
        <w:tc>
          <w:tcPr>
            <w:tcW w:type="dxa" w:w="2340"/>
          </w:tcPr>
          <w:p>
            <w:pPr>
              <w:spacing w:line="240" w:lineRule="auto" w:after="40"/>
            </w:pPr>
            <w:r>
              <w:rPr>
                <w:sz w:val="18"/>
              </w:rPr>
            </w:r>
            <w:r>
              <w:rPr>
                <w:sz w:val="18"/>
              </w:rPr>
              <w:t>one kill curve returns different durations under different rules</w:t>
            </w:r>
          </w:p>
        </w:tc>
      </w:tr>
      <w:tr>
        <w:tc>
          <w:tcPr>
            <w:tcW w:type="dxa" w:w="2340"/>
          </w:tcPr>
          <w:p>
            <w:pPr>
              <w:spacing w:line="240" w:lineRule="auto" w:after="40"/>
            </w:pPr>
            <w:r>
              <w:rPr>
                <w:sz w:val="18"/>
              </w:rPr>
            </w:r>
            <w:r>
              <w:rPr>
                <w:sz w:val="18"/>
              </w:rPr>
              <w:t>5</w:t>
            </w:r>
          </w:p>
        </w:tc>
        <w:tc>
          <w:tcPr>
            <w:tcW w:type="dxa" w:w="2340"/>
          </w:tcPr>
          <w:p>
            <w:pPr>
              <w:spacing w:line="240" w:lineRule="auto" w:after="40"/>
            </w:pPr>
            <w:r>
              <w:rPr>
                <w:sz w:val="18"/>
              </w:rPr>
            </w:r>
            <w:r>
              <w:rPr>
                <w:sz w:val="18"/>
              </w:rPr>
              <w:t>Physiological state</w:t>
            </w:r>
          </w:p>
        </w:tc>
        <w:tc>
          <w:tcPr>
            <w:tcW w:type="dxa" w:w="2340"/>
          </w:tcPr>
          <w:p>
            <w:pPr>
              <w:spacing w:line="240" w:lineRule="auto" w:after="40"/>
            </w:pPr>
            <w:r>
              <w:rPr>
                <w:sz w:val="18"/>
              </w:rPr>
            </w:r>
            <w:r>
              <w:rPr>
                <w:sz w:val="18"/>
              </w:rPr>
              <w:t>culture age or growth phase at sampling, as a recorded value</w:t>
            </w:r>
          </w:p>
        </w:tc>
        <w:tc>
          <w:tcPr>
            <w:tcW w:type="dxa" w:w="2340"/>
          </w:tcPr>
          <w:p>
            <w:pPr>
              <w:spacing w:line="240" w:lineRule="auto" w:after="40"/>
            </w:pPr>
            <w:r>
              <w:rPr>
                <w:sz w:val="18"/>
              </w:rPr>
            </w:r>
            <w:r>
              <w:rPr>
                <w:sz w:val="18"/>
              </w:rPr>
              <w:t>the label tracks state; unrecorded, state is confounded with every group compared</w:t>
            </w:r>
          </w:p>
        </w:tc>
      </w:tr>
    </w:tbl>
    <w:p/>
    <w:p>
      <w:r>
        <w:t>A report carrying all five can be audited against its own floor, which is the test applied to every deposit in this article.</w:t>
      </w:r>
    </w:p>
    <w:p>
      <w:r>
        <w:t xml:space="preserve">A time-kill guide already exists and this five-field minimum does not replace it: ASTM International (the American Society for Testing and Materials) guide E2315 sets out how to run and report a time-kill procedure in general (organism, media, neutralisation, raw counts) for antimicrobial products broadly, and none of its reporting requirements is </w:t>
      </w:r>
      <w:r>
        <w:rPr>
          <w:i/>
        </w:rPr>
        <w:t>L</w:t>
      </w:r>
      <w:r>
        <w:t>, headroom or a censoring convention specific to a duration endpoint cut on a fraction of the starting count (20). The five fields above are additional to that guide, not a substitute for it, and apply wherever a killing curve is read against an assay floor to score how long killing took rather than only whether it happened.</w:t>
      </w:r>
    </w:p>
    <w:p>
      <w:pPr>
        <w:spacing w:before="240"/>
      </w:pPr>
      <w:r>
        <w:rPr>
          <w:b/>
          <w:sz w:val="22"/>
        </w:rPr>
        <w:t>Conclusion</w:t>
      </w:r>
    </w:p>
    <w:p>
      <w:r>
        <w:t xml:space="preserve">A plate that grows nothing under antibiotic has never been evidence that the flask was sterile, and the field knows it. The remedy adopted was to stop asking whether the culture went negative and to start asking how far it fell, expressed as a fraction of where it began so that the starting culture could not matter. We find that the fraction stops being a fraction once the population reaches the floor. What the deposit records from that point is </w:t>
      </w:r>
      <w:r>
        <w:rPr>
          <w:i/>
        </w:rPr>
        <w:t>L</w:t>
      </w:r>
      <w:r>
        <w:t>/</w:t>
      </w:r>
      <w:r>
        <w:rPr>
          <w:i/>
        </w:rPr>
        <w:t>N₀</w:t>
      </w:r>
      <w:r>
        <w:t>, which moves with the starting density and not with the surviving population: in this deposit, for fifteen per cent of isolates at the depth the classification uses, and for the eighteen isolates whose recorded label a single threshold on their inoculum reproduces exactly, because for twelve of them no count below the floor would have changed which class the rule could return.</w:t>
      </w:r>
    </w:p>
    <w:p>
      <w:r>
        <w:t>The consequence is that a tolerance call made without its headroom cannot be told apart from an inoculum measurement, and that the phenotype which does survive the correction is physiological state rather than drug susceptibility, not that tolerance is an artefact. Report the starting density and the assay floor. Match the depth of the endpoint to the range actually available. Treat a reading at the floor as a bound. Do those three things and a tolerance classification would mean the same in one laboratory as in the next. Until then, some of what the field calls tolerance cannot be separated from a record of how much culture went into the tube.</w:t>
      </w:r>
    </w:p>
    <w:p>
      <w:r>
        <w:t>What this study adds is a way to see the problem before the plates are poured: two boundaries computed from quantities a time-kill protocol already records, a classification that refuses rather than guesses when the assay cannot decide (Table S11), a five-field minimum that makes any killing endpoint recomputable (Box 2), and a small tool that returns the endpoint a planned assay can support. None of it asks a laboratory for a new measurement; the cost is five numbers written down. The return is a tolerance phenotype that means the same in one laboratory as in the next, and that can bear the weight regimen research already puts on it.</w:t>
      </w:r>
    </w:p>
    <w:p>
      <w:pPr>
        <w:spacing w:before="240"/>
      </w:pPr>
      <w:r>
        <w:rPr>
          <w:b/>
          <w:sz w:val="24"/>
        </w:rPr>
        <w:t>Materials and Methods</w:t>
      </w:r>
    </w:p>
    <w:p>
      <w:pPr>
        <w:spacing w:before="240"/>
      </w:pPr>
      <w:r>
        <w:rPr>
          <w:b/>
          <w:sz w:val="22"/>
        </w:rPr>
        <w:t>A screen of 78 time-kill datasets for M. tuberculosis and E. coli assay floors</w:t>
      </w:r>
    </w:p>
    <w:p>
      <w:r>
        <w:t xml:space="preserve">This study combined mathematical derivation, analysis of five public datasets, and a prospective </w:t>
      </w:r>
      <w:r>
        <w:rPr>
          <w:i/>
        </w:rPr>
        <w:t>Escherichia coli</w:t>
      </w:r>
      <w:r>
        <w:t xml:space="preserve"> experiment to examine how assay floors constrain antibiotic-tolerance endpoints. We assembled 78 candidate time-kill datasets from the published literature (21 August – 8 September 2026) and screened 45 of them field by field for the three quantities the two boundaries below require: a pre-treatment starting density, a longitudinal series of viable counts, and either a plated volume or a stated assay floor. Every inclusion and exclusion is recorded in a manifest deposited with the analysis code.</w:t>
      </w:r>
    </w:p>
    <w:p>
      <w:r>
        <w:t>Forty-one distinct records were inspected, one of them this paper's own prospective experiment. Of the 40 remaining literature deposits, 32 reported no assay floor by any route: no limit of detection, no limit of quantification, and no plated volume from which one could be derived. Eighteen deposits carried enough information to compute both boundaries at all, and five carried the complete set of fields the full analysis requires (Table 3, Figure S4). The full pipeline, from this screen through the prospective test of both boundaries, is summarised in Figure S6.</w:t>
      </w:r>
    </w:p>
    <w:p>
      <w:r>
        <w:t>These 78 candidates are a documented sample of the literature, assembled without a registered search protocol; the two boundaries are derived from definitions rather than estimated from the corpus's size, so a single deposit with a stated floor is enough to demonstrate them.</w:t>
      </w:r>
    </w:p>
    <w:p>
      <w:r>
        <w:t xml:space="preserve">Four datasets supported the empirical analyses. </w:t>
      </w:r>
      <w:r>
        <w:rPr>
          <w:b/>
        </w:rPr>
        <w:t>Clinical isolates with a deposited tolerance classification:</w:t>
      </w:r>
      <w:r>
        <w:t xml:space="preserve"> 217 </w:t>
      </w:r>
      <w:r>
        <w:rPr>
          <w:i/>
        </w:rPr>
        <w:t>M. tuberculosis</w:t>
      </w:r>
      <w:r>
        <w:t xml:space="preserve"> isolates assayed under rifampicin, each carrying a minimum inhibitory concentration, minimum durations for 90, 99 and 99.99 per cent killing at 15 and 60 days of prior culture, most probable number readings at days 0, 2 and 5, a growth-rate proxy, isoniazid susceptibility with the resistance mutation where present, and the authors' own tolerance level for each isolate (Vijay et al. 2024; eLife 93243 supplementary file 2) (21). Of the 217 rows, 43 are follow-up isolates from patients already represented, so a baseline-only stratum is analysed separately.</w:t>
      </w:r>
    </w:p>
    <w:p>
      <w:r>
        <w:rPr>
          <w:b/>
        </w:rPr>
        <w:t>The six-laboratory exercise:</w:t>
      </w:r>
      <w:r>
        <w:t xml:space="preserve"> </w:t>
      </w:r>
      <w:r>
        <w:rPr>
          <w:i/>
        </w:rPr>
        <w:t>M. tuberculosis</w:t>
      </w:r>
      <w:r>
        <w:t xml:space="preserve"> H37Rv from one stock, distributed with one written protocol to six blinded laboratories (van Wijk et al. 2023; figshare 19766083, CC BY 4.0) (8, 9). Moxifloxacin and isoniazid at one and ten times the minimum inhibitory concentration, three flasks per arm, each sample plated at four volumes: 100 µL quadruplicate, 10 µL as four drops, 10 µL as a single drop, and 2.5 µL as a single drop, giving three distinct floors spanning 1.60 log10 within a single flask-visit (22). The file holds 2,775 readings; the analysis set, after dropping unusable values and pre-treatment visits, is 2,580.</w:t>
      </w:r>
    </w:p>
    <w:p>
      <w:r>
        <w:rPr>
          <w:b/>
        </w:rPr>
        <w:t>Evolved clones:</w:t>
      </w:r>
      <w:r>
        <w:t xml:space="preserve"> 126 </w:t>
      </w:r>
      <w:r>
        <w:rPr>
          <w:i/>
        </w:rPr>
        <w:t>Escherichia coli</w:t>
      </w:r>
      <w:r>
        <w:t xml:space="preserve"> clones from a parallel evolution experiment under amikacin, each carrying an endpoint minimum inhibitory concentration and a persister fraction (Windels et al. 2024; Zenodo 10.5281/zenodo.7550302, CC BY 4.0) (23, 24). Six of its 595 surviving fractions are written as exact zeros with no named floor, so this deposit is one of two for which observability labels are refused.</w:t>
      </w:r>
    </w:p>
    <w:p>
      <w:r>
        <w:rPr>
          <w:b/>
        </w:rPr>
        <w:t>Concentration-by-time grid:</w:t>
      </w:r>
      <w:r>
        <w:t xml:space="preserve"> apramycin against </w:t>
      </w:r>
      <w:r>
        <w:rPr>
          <w:i/>
        </w:rPr>
        <w:t>M. tuberculosis</w:t>
      </w:r>
      <w:r>
        <w:t xml:space="preserve"> at 128, 32, 8, 4 and 1 µg/mL, triplicate log10 CFU at days 0, 3, 7 and 14 (Kaur et al. 2024; figshare 26462791, CC BY 4.0) (25, 26). The 1 µg/mL arm shows net growth rather than killing and is excluded from the dose comparison, leaving 4 to 128 µg/mL as the range compared (Section 6).</w:t>
      </w:r>
    </w:p>
    <w:p>
      <w:r>
        <w:t xml:space="preserve">A fifth dataset was evaluated only after the boundaries, thresholds, and modelling choices had been fixed. </w:t>
      </w:r>
      <w:r>
        <w:rPr>
          <w:b/>
        </w:rPr>
        <w:t>Validation deposit:</w:t>
      </w:r>
      <w:r>
        <w:t xml:space="preserve"> amoxicillin- clavulanate against </w:t>
      </w:r>
      <w:r>
        <w:rPr>
          <w:i/>
        </w:rPr>
        <w:t>Escherichia coli</w:t>
      </w:r>
      <w:r>
        <w:t xml:space="preserve"> in a hollow-fibre infection model, with 100 µL plated, measured day-zero densities for every culture, and below-limit readings retained as a placeholder (Dubey et al. 2026; article Source Data, CC BY 4.0) (10, 11). It was the only deposit found carrying all three fields the boundaries require, and no boundary, threshold or modelling choice in this paper was informed by it; it is used nowhere else in the paper except to confirm them (Text S3).</w:t>
      </w:r>
    </w:p>
    <w:p>
      <w:r>
        <w:t>Each dataset's organism, drug, design and licence is summarised in Table 1; the complete screening manifest and exclusion reasons accompany the analysis code.</w:t>
      </w:r>
    </w:p>
    <w:p>
      <w:pPr>
        <w:spacing w:before="240"/>
      </w:pPr>
      <w:r>
        <w:rPr>
          <w:b/>
          <w:sz w:val="22"/>
        </w:rPr>
        <w:t>Prospective E. coli experiment designed to test the floor artifact</w:t>
      </w:r>
    </w:p>
    <w:p>
      <w:r>
        <w:t xml:space="preserve">An </w:t>
      </w:r>
      <w:r>
        <w:rPr>
          <w:i/>
        </w:rPr>
        <w:t>in vitro</w:t>
      </w:r>
      <w:r>
        <w:t xml:space="preserve"> experiment was designed to prospectively test both boundaries. Its design sheet, predictions and plate counts are one workbook, deposited with the analysis code, with every prediction written down before a plate was counted.</w:t>
      </w:r>
    </w:p>
    <w:p>
      <w:r>
        <w:rPr>
          <w:i/>
        </w:rPr>
        <w:t>Escherichia coli</w:t>
      </w:r>
      <w:r>
        <w:t xml:space="preserve"> ATCC 25922, the CLSI quality-control reference strain, was grown in cation-adjusted Mueller–Hinton broth and plated on Mueller–Hinton agar, incubated at 35 ± 2 °C in ambient air (16, 27). The ciprofloxacin MIC, determined by CLSI reference broth microdilution (27, 28), was 0.008 mg/L, within the CLSI quality-control range for this strain (28); the exposure was set at ten times it, 0.08 mg/L, chosen to kill deeply and fast enough that every arm reaches the floor within the sampling window.</w:t>
      </w:r>
    </w:p>
    <w:p>
      <w:r>
        <w:t xml:space="preserve">Three seeding arms were set so the four-log endpoint is unreachable in one, marginal in the second and comfortable in the third: targets of 5 × 10⁴, 5 × 10⁵ and 5 × 10⁶ CFU/mL (the middle arm the CLSI-specified inoculum), reaching 6.4 × 10⁴, 4.4 × 10⁵ and 3.8 × 10⁶ CFU/mL as measured from day-zero counts: headroom of 4.11, 4.94 and 5.88 logs at the pooled 100 µL floor, and 3.11, 3.94 and 4.88 logs at the pooled 10 µL floor, so the lowest arm is reachable for a four-log endpoint only at the deeper plating. Three flasks per arm were sampled at 0, 1, 2, 4, 6 and 24 h; at each time, one dilution series was plated at both 100 µL and 10 µL in duplicate, giving 216 plate readings in all. Viable density was </w:t>
      </w:r>
      <w:r>
        <w:rPr>
          <w:i/>
        </w:rPr>
        <w:t>N</w:t>
      </w:r>
      <w:r>
        <w:t xml:space="preserve"> = </w:t>
      </w:r>
      <w:r>
        <w:rPr>
          <w:i/>
        </w:rPr>
        <w:t>C</w:t>
      </w:r>
      <w:r>
        <w:t>·</w:t>
      </w:r>
      <w:r>
        <w:rPr>
          <w:i/>
        </w:rPr>
        <w:t>D</w:t>
      </w:r>
      <w:r>
        <w:t>·1000/</w:t>
      </w:r>
      <w:r>
        <w:rPr>
          <w:i/>
        </w:rPr>
        <w:t>V</w:t>
      </w:r>
      <w:r>
        <w:t xml:space="preserve"> for </w:t>
      </w:r>
      <w:r>
        <w:rPr>
          <w:i/>
        </w:rPr>
        <w:t>C</w:t>
      </w:r>
      <w:r>
        <w:t xml:space="preserve"> colonies counted at dilution factor </w:t>
      </w:r>
      <w:r>
        <w:rPr>
          <w:i/>
        </w:rPr>
        <w:t>D</w:t>
      </w:r>
      <w:r>
        <w:t xml:space="preserve"> and plated volume </w:t>
      </w:r>
      <w:r>
        <w:rPr>
          <w:i/>
        </w:rPr>
        <w:t>V</w:t>
      </w:r>
      <w:r>
        <w:t xml:space="preserve"> µL.</w:t>
      </w:r>
    </w:p>
    <w:p>
      <w:r>
        <w:t>No carryover control was run. Because the 100 µL plating carries ten times as much drug onto the plate as the 10 µL plating of the same sample, any carryover effect works against the depth advantage the 100 µL plating is reported to have, so the paired comparison in Section 8 is conservative with respect to it.</w:t>
      </w:r>
    </w:p>
    <w:p>
      <w:r>
        <w:rPr>
          <w:i/>
        </w:rPr>
        <w:t>L</w:t>
      </w:r>
      <w:r>
        <w:t xml:space="preserve"> is one colony in the volume plated, referred back to the undiluted sample. The two technical plates of a sample are pooled rather than averaged, so their volumes add and the floor is lower than a single plate's: 5 CFU/mL for a pooled 100 µL pair against 10 CFU/mL for one plate, and the two platings differ by exactly one log by construction. Headroom, censoring at the floor and the three tolerance classes are applied unchanged from the definitions below; class labels use the thresholds of the clinical deposit above, </w:t>
      </w:r>
      <w:r>
        <w:rPr>
          <w:i/>
        </w:rPr>
        <w:t>c</w:t>
      </w:r>
      <w:r>
        <w:t xml:space="preserve">₁ = 10⁻³ and </w:t>
      </w:r>
      <w:r>
        <w:rPr>
          <w:i/>
        </w:rPr>
        <w:t>c</w:t>
      </w:r>
      <w:r>
        <w:t>₂ = 10⁻², so the two experiments are scored on one rule.</w:t>
      </w:r>
    </w:p>
    <w:p>
      <w:pPr>
        <w:spacing w:before="240"/>
      </w:pPr>
      <w:r>
        <w:rPr>
          <w:b/>
          <w:sz w:val="22"/>
        </w:rPr>
        <w:t>Where rifampicin tolerance readings are censored by the assay floor</w:t>
      </w:r>
    </w:p>
    <w:p>
      <w:r>
        <w:t xml:space="preserve">No deposit analysed here reports a validated limit of quantification with a value. Throughout this paper </w:t>
      </w:r>
      <w:r>
        <w:rPr>
          <w:i/>
        </w:rPr>
        <w:t>L</w:t>
      </w:r>
      <w:r>
        <w:t xml:space="preserve"> is therefore an </w:t>
      </w:r>
      <w:r>
        <w:rPr>
          <w:b/>
        </w:rPr>
        <w:t>operational assay floor</w:t>
      </w:r>
      <w:r>
        <w:t xml:space="preserve">: where a plated volume is recorded it is the </w:t>
      </w:r>
      <w:r>
        <w:rPr>
          <w:b/>
        </w:rPr>
        <w:t>minimum reportable positive count</w:t>
      </w:r>
      <w:r>
        <w:t>, one colony in that volume; where none is recorded it is inferred from the deposit and labelled as such. The term limit of quantification is used only in reporting what a source states.</w:t>
      </w:r>
    </w:p>
    <w:p>
      <w:r>
        <w:t xml:space="preserve">In running text </w:t>
      </w:r>
      <w:r>
        <w:rPr>
          <w:i/>
        </w:rPr>
        <w:t>L</w:t>
      </w:r>
      <w:r>
        <w:t xml:space="preserve"> is the </w:t>
      </w:r>
      <w:r>
        <w:rPr>
          <w:b/>
        </w:rPr>
        <w:t>assay floor</w:t>
      </w:r>
      <w:r>
        <w:t xml:space="preserve">, and that is the only short form used, so that "boundary" is left free for the two derived boundaries of the next subsection and never denotes a value. The event a time-to-event analysis records is correspondingly a first observed crossing below the assay floor. What </w:t>
      </w:r>
      <w:r>
        <w:rPr>
          <w:i/>
        </w:rPr>
        <w:t>L</w:t>
      </w:r>
      <w:r>
        <w:t xml:space="preserve"> is in each deposit is tabulated deposit by deposit (Table S12).</w:t>
      </w:r>
    </w:p>
    <w:p>
      <w:r>
        <w:t xml:space="preserve">Two censoring problems are handled separately. A </w:t>
      </w:r>
      <w:r>
        <w:rPr>
          <w:b/>
        </w:rPr>
        <w:t>count below the assay floor</w:t>
      </w:r>
      <w:r>
        <w:t xml:space="preserve"> is left-censored: the population is somewhere below a known value. In the clinical deposit the floor is inferred at 23 MPN/mL from three signatures: it is the smallest value in the file, nothing lies below it in 1,932 readings, and the minimum shifts by exactly a factor of ten per culture age; the conclusions drawn from it hold across the full range the deposit's own MPN table admits (Table S13). A </w:t>
      </w:r>
      <w:r>
        <w:rPr>
          <w:b/>
        </w:rPr>
        <w:t>crossing time not observed within the study</w:t>
      </w:r>
      <w:r>
        <w:t xml:space="preserve"> is right-censored: a flask that never falls below the floor contributes the information that its crossing time exceeds its last visit, and enters the survival likelihood as such rather than as missing.</w:t>
      </w:r>
    </w:p>
    <w:p>
      <w:r>
        <w:t xml:space="preserve">A volume-derived plate floor bounds the true count from above, [0, </w:t>
      </w:r>
      <w:r>
        <w:rPr>
          <w:i/>
        </w:rPr>
        <w:t>L</w:t>
      </w:r>
      <w:r>
        <w:t>]; an MPN rung does not, since its likelihood extends well above the rung. Every identifiability verdict was therefore recomputed under the assay's own likelihood rather than the plate-sweep bound, confirming the same classification under both treatments (Table S14). Each below-limit flag in the six-laboratory deposit is judged against its own plated volume's floor rather than pooled to the least sensitive volume, since pooling would discard genuine quantified counts a more sensitive plating of the same sample recorded (Table S12 note).</w:t>
      </w:r>
    </w:p>
    <w:p>
      <w:r>
        <w:t xml:space="preserve">A volume-derived floor is a point mass, with nothing to infer. A floor inferred from a pile-up on a most-probable-number rung carries a discrete posterior over the rungs at or below the observed minimum; the interval quoted is the 95 per cent highest-posterior-density support. Where no floor is evidenced, or the support spans more than one log10, observability labels are </w:t>
      </w:r>
      <w:r>
        <w:rPr>
          <w:b/>
        </w:rPr>
        <w:t>refused</w:t>
      </w:r>
      <w:r>
        <w:t xml:space="preserve"> rather than reported (Table S15): the clinical deposit passes this rule at 0.40 log10 of support, and two of the five deposits fail it. This paper fits nothing to predict an MDK: once </w:t>
      </w:r>
      <w:r>
        <w:rPr>
          <w:i/>
        </w:rPr>
        <w:t>L</w:t>
      </w:r>
      <w:r>
        <w:t xml:space="preserve"> is in hand the rest is derived.</w:t>
      </w:r>
    </w:p>
    <w:p>
      <w:r>
        <w:t>The same likelihood turns classification into an inference with its own refusal rule: given a floor reading, the posterior over the true count maps through starting density to a posterior over class, and an isolate is refused when no class reaches 95 per cent confidence (Table S11). The refusal holds across both well designs, both floor readings and two priors.</w:t>
      </w:r>
    </w:p>
    <w:p>
      <w:pPr>
        <w:spacing w:before="240"/>
      </w:pPr>
      <w:r>
        <w:rPr>
          <w:b/>
          <w:sz w:val="22"/>
        </w:rPr>
        <w:t>Two boundaries that predict which rifampicin tolerance calls are unreliable</w:t>
      </w:r>
    </w:p>
    <w:p>
      <w:r>
        <w:t xml:space="preserve">For a culture starting at </w:t>
      </w:r>
      <w:r>
        <w:rPr>
          <w:i/>
        </w:rPr>
        <w:t>N₀</w:t>
      </w:r>
      <w:r>
        <w:t xml:space="preserve"> against an assay floor </w:t>
      </w:r>
      <w:r>
        <w:rPr>
          <w:i/>
        </w:rPr>
        <w:t>L</w:t>
      </w:r>
      <w:r>
        <w:t xml:space="preserve">, the </w:t>
      </w:r>
      <w:r>
        <w:rPr>
          <w:b/>
        </w:rPr>
        <w:t>headroom</w:t>
      </w:r>
      <w:r>
        <w:t xml:space="preserve"> is </w:t>
      </w:r>
      <w:r>
        <w:rPr>
          <w:i/>
        </w:rPr>
        <w:t>h</w:t>
      </w:r>
      <w:r>
        <w:t xml:space="preserve"> = log10(</w:t>
      </w:r>
      <w:r>
        <w:rPr>
          <w:i/>
        </w:rPr>
        <w:t>N₀</w:t>
      </w:r>
      <w:r>
        <w:t>/</w:t>
      </w:r>
      <w:r>
        <w:rPr>
          <w:i/>
        </w:rPr>
        <w:t>L</w:t>
      </w:r>
      <w:r>
        <w:t>), the deepest reduction the assay can resolve. Two boundaries follow from the definitions alone.</w:t>
      </w:r>
    </w:p>
    <w:p>
      <w:r>
        <w:rPr>
          <w:b/>
        </w:rPr>
        <w:t>Reachability.</w:t>
      </w:r>
      <w:r>
        <w:t xml:space="preserve"> A </w:t>
      </w:r>
      <w:r>
        <w:rPr>
          <w:i/>
        </w:rPr>
        <w:t>q</w:t>
      </w:r>
      <w:r>
        <w:t>-log endpoint is observable only if</w:t>
      </w:r>
    </w:p>
    <w:p>
      <w:r>
        <w:rPr>
          <w:i/>
        </w:rPr>
        <w:t>N₀</w:t>
      </w:r>
      <w:r>
        <w:t xml:space="preserve"> ≥ </w:t>
      </w:r>
      <w:r>
        <w:rPr>
          <w:i/>
        </w:rPr>
        <w:t>N</w:t>
      </w:r>
      <w:r>
        <w:t xml:space="preserve">_reach = </w:t>
      </w:r>
      <w:r>
        <w:rPr>
          <w:i/>
        </w:rPr>
        <w:t>L</w:t>
      </w:r>
      <w:r>
        <w:t xml:space="preserve"> · 10^</w:t>
      </w:r>
      <w:r>
        <w:rPr>
          <w:i/>
        </w:rPr>
        <w:t>q</w:t>
      </w:r>
      <w:r>
        <w:t>.</w:t>
      </w:r>
    </w:p>
    <w:p>
      <w:r>
        <w:rPr>
          <w:b/>
        </w:rPr>
        <w:t>Identifiability.</w:t>
      </w:r>
      <w:r>
        <w:t xml:space="preserve"> A censored reading places the true count in [0, </w:t>
      </w:r>
      <w:r>
        <w:rPr>
          <w:i/>
        </w:rPr>
        <w:t>L</w:t>
      </w:r>
      <w:r>
        <w:t xml:space="preserve">], so the recorded surviving fraction is at most </w:t>
      </w:r>
      <w:r>
        <w:rPr>
          <w:i/>
        </w:rPr>
        <w:t>L</w:t>
      </w:r>
      <w:r>
        <w:t>/</w:t>
      </w:r>
      <w:r>
        <w:rPr>
          <w:i/>
        </w:rPr>
        <w:t>N₀</w:t>
      </w:r>
      <w:r>
        <w:t xml:space="preserve"> (an upper bound, not a measurement). Given class thresholds 0 &lt; </w:t>
      </w:r>
      <w:r>
        <w:rPr>
          <w:i/>
        </w:rPr>
        <w:t>c</w:t>
      </w:r>
      <w:r>
        <w:t xml:space="preserve">₁ &lt; </w:t>
      </w:r>
      <w:r>
        <w:rPr>
          <w:i/>
        </w:rPr>
        <w:t>c</w:t>
      </w:r>
      <w:r>
        <w:t>₂ …, the class is determined by the data only if</w:t>
      </w:r>
    </w:p>
    <w:p>
      <w:r>
        <w:rPr>
          <w:i/>
        </w:rPr>
        <w:t>N₀</w:t>
      </w:r>
      <w:r>
        <w:t xml:space="preserve"> &gt; </w:t>
      </w:r>
      <w:r>
        <w:rPr>
          <w:i/>
        </w:rPr>
        <w:t>N</w:t>
      </w:r>
      <w:r>
        <w:t xml:space="preserve">_id = </w:t>
      </w:r>
      <w:r>
        <w:rPr>
          <w:i/>
        </w:rPr>
        <w:t>L</w:t>
      </w:r>
      <w:r>
        <w:t>/</w:t>
      </w:r>
      <w:r>
        <w:rPr>
          <w:i/>
        </w:rPr>
        <w:t>c</w:t>
      </w:r>
      <w:r>
        <w:t>₁,</w:t>
      </w:r>
    </w:p>
    <w:p>
      <w:r>
        <w:t xml:space="preserve">since the censored interval always contains zero and so is only compatible with the lowest class above this point. Both boundaries are properties of the method alone; seeding a culture above </w:t>
      </w:r>
      <w:r>
        <w:rPr>
          <w:i/>
        </w:rPr>
        <w:t>L</w:t>
      </w:r>
      <w:r>
        <w:t xml:space="preserve"> · max(10^</w:t>
      </w:r>
      <w:r>
        <w:rPr>
          <w:i/>
        </w:rPr>
        <w:t>q</w:t>
      </w:r>
      <w:r>
        <w:t>, 1/</w:t>
      </w:r>
      <w:r>
        <w:rPr>
          <w:i/>
        </w:rPr>
        <w:t>c</w:t>
      </w:r>
      <w:r>
        <w:t>₁) makes both failure modes impossible before an experiment runs.</w:t>
      </w:r>
    </w:p>
    <w:p>
      <w:pPr>
        <w:spacing w:before="240"/>
      </w:pPr>
      <w:r>
        <w:rPr>
          <w:b/>
          <w:sz w:val="22"/>
        </w:rPr>
        <w:t>Statistical analysis</w:t>
      </w:r>
    </w:p>
    <w:p>
      <w:r>
        <w:t xml:space="preserve">Log10 viable counts were modelled as a linear function of time using a </w:t>
      </w:r>
      <w:r>
        <w:rPr>
          <w:b/>
        </w:rPr>
        <w:t>Tobit model</w:t>
      </w:r>
      <w:r>
        <w:t xml:space="preserve"> with observation-specific left-censoring limits, fitted by maximum likelihood (29); a censored reading contributes log Φ((limit − µ)/σ), the probability it fell below its own limit (Beal's M3 written for this assay (30)). As a computational consistency check, 50 imputed datasets were generated from the fitted truncated-normal distribution, analysed by ordinary least squares, and pooled using Rubin's rules (31); both procedures share the same distributional assumptions, and their agreement shows the answer does not depend on which arithmetic recovers it, not that the sub-floor distribution is normal.</w:t>
      </w:r>
    </w:p>
    <w:p>
      <w:r>
        <w:t xml:space="preserve">The growth proxy is the deposit's time to an optical density of 0.4, in days, so it runs inversely to growth rate. </w:t>
      </w:r>
      <w:r>
        <w:rPr>
          <w:b/>
        </w:rPr>
        <w:t>The tolerance label</w:t>
      </w:r>
      <w:r>
        <w:t xml:space="preserve"> was modelled as an ordered categorical outcome by proportional-odds ordinal logistic regression (32), with starting density as a prespecified covariate; proportional odds was tested by a Brant test per predictor (33) and a likelihood-ratio test against a generalised ordered logit (34), with the partial-proportional-odds fit reported where it fails and checked against a multinomial fit assuming no ordering (Table S16).</w:t>
      </w:r>
    </w:p>
    <w:p>
      <w:r>
        <w:rPr>
          <w:b/>
        </w:rPr>
        <w:t>Time-to-event analysis</w:t>
      </w:r>
      <w:r>
        <w:t xml:space="preserve"> treated the first observed crossing below the assay floor as the event, right-censoring series that never fall below it; 60 per cent of series that cross read above the floor again at a later visit, so the event is a crossing, not a clearance. The crossing time is interval-censored between the last visit above the floor and the first below it; interval-censored fits (35) are reported alongside Kaplan–Meier (36) and Cox proportional hazards (37) as descriptive summaries, with cluster bootstraps over laboratories and flasks (38) in place of the partial likelihood's independence assumption, and proportionality tested on Schoenfeld residuals (39, 40).</w:t>
      </w:r>
    </w:p>
    <w:p>
      <w:r>
        <w:rPr>
          <w:b/>
        </w:rPr>
        <w:t>The replicate-level bootstrap</w:t>
      </w:r>
      <w:r>
        <w:t xml:space="preserve"> (41) behind interval slopes resamples the three replicate counts with replacement, takes their mean, refits the concentration slope on each draw, and takes percentile intervals from 20,000 draws, reported instead of the least-squares fit through the deposited concentration means, which has two residual degrees of freedom and discards the replicate scatter. An interval on a proportion is the Jeffreys interval (42), which does not collapse to zero width at the sample sizes here.</w:t>
      </w:r>
    </w:p>
    <w:p>
      <w:r>
        <w:rPr>
          <w:b/>
        </w:rPr>
        <w:t>Causal mediation of the resistance association.</w:t>
      </w:r>
      <w:r>
        <w:t xml:space="preserve"> A linear product-of-coefficients mediation decomposes the total effect of isoniazid resistance on the day-5 tolerance class into an average causal mediation effect through log10 </w:t>
      </w:r>
      <w:r>
        <w:rPr>
          <w:i/>
        </w:rPr>
        <w:t>N₀</w:t>
      </w:r>
      <w:r>
        <w:t xml:space="preserve"> and an average direct effect (43, 44), with bootstrap percentile intervals from 5,000 resamples. A refit excludes the 18 of 203 isolates whose day-5 reading sits at or below the floor, since their recorded fraction carries no measured numerator. Sequential ignorability is assumed and untestable here; the sensitivity that matters is the residual correlation between mediator and outcome errors at which the point estimate crosses zero, about −0.23. No claim is made that unmeasured confounding is absent.</w:t>
      </w:r>
    </w:p>
    <w:p>
      <w:r>
        <w:rPr>
          <w:b/>
        </w:rPr>
        <w:t>Denominators.</w:t>
      </w:r>
      <w:r>
        <w:t xml:space="preserve"> A dozen denominators appear in this paper and each is derived in a single place (Table S3): the MDR tolerance label is dropped wherever an ordered outcome is fitted (14 rows per panel, 20 at 60 days), the growth proxy is missing for one isolate, and five of 72 treated flasks in the six-laboratory deposit carry no usable starting density. Dropped rows are compared with retained ones on starting density and susceptibility to test whether the exclusions are plausibly ignorable (Table S17).</w:t>
      </w:r>
    </w:p>
    <w:p>
      <w:r>
        <w:rPr>
          <w:b/>
        </w:rPr>
        <w:t>Decomposition of a crossing time.</w:t>
      </w:r>
      <w:r>
        <w:t xml:space="preserve"> Over an interval where the decline is close to log-linear, log10 </w:t>
      </w:r>
      <w:r>
        <w:rPr>
          <w:i/>
        </w:rPr>
        <w:t>N</w:t>
      </w:r>
      <w:r>
        <w:t>(</w:t>
      </w:r>
      <w:r>
        <w:rPr>
          <w:i/>
        </w:rPr>
        <w:t>t</w:t>
      </w:r>
      <w:r>
        <w:t xml:space="preserve">) = </w:t>
      </w:r>
      <w:r>
        <w:rPr>
          <w:i/>
        </w:rPr>
        <w:t>a</w:t>
      </w:r>
      <w:r>
        <w:t xml:space="preserve"> − </w:t>
      </w:r>
      <w:r>
        <w:rPr>
          <w:i/>
        </w:rPr>
        <w:t>bt</w:t>
      </w:r>
      <w:r>
        <w:t xml:space="preserve">, and with </w:t>
      </w:r>
      <w:r>
        <w:rPr>
          <w:i/>
        </w:rPr>
        <w:t>ℓ</w:t>
      </w:r>
      <w:r>
        <w:t xml:space="preserve"> the log10 assay floor and </w:t>
      </w:r>
      <w:r>
        <w:rPr>
          <w:i/>
        </w:rPr>
        <w:t>D</w:t>
      </w:r>
      <w:r>
        <w:t xml:space="preserve"> = </w:t>
      </w:r>
      <w:r>
        <w:rPr>
          <w:i/>
        </w:rPr>
        <w:t>a</w:t>
      </w:r>
      <w:r>
        <w:t xml:space="preserve"> − </w:t>
      </w:r>
      <w:r>
        <w:rPr>
          <w:i/>
        </w:rPr>
        <w:t>ℓ</w:t>
      </w:r>
      <w:r>
        <w:t xml:space="preserve"> the distance the population starts above it, the crossing time is </w:t>
      </w:r>
      <w:r>
        <w:rPr>
          <w:i/>
        </w:rPr>
        <w:t>T</w:t>
      </w:r>
      <w:r>
        <w:t xml:space="preserve"> = </w:t>
      </w:r>
      <w:r>
        <w:rPr>
          <w:i/>
        </w:rPr>
        <w:t>D</w:t>
      </w:r>
      <w:r>
        <w:t>/</w:t>
      </w:r>
      <w:r>
        <w:rPr>
          <w:i/>
        </w:rPr>
        <w:t>b</w:t>
      </w:r>
      <w:r>
        <w:t>. For two flasks,</w:t>
      </w:r>
    </w:p>
    <w:p>
      <w:pPr>
        <w:spacing w:line="240" w:lineRule="auto"/>
        <w:ind w:left="720"/>
      </w:pPr>
      <w:r>
        <w:rPr>
          <w:rFonts w:ascii="Consolas" w:hAnsi="Consolas"/>
          <w:sz w:val="22"/>
        </w:rPr>
        <w:t>log(T_A / T_B) = log(D_A / D_B) − log(b_A / b_B),</w:t>
      </w:r>
    </w:p>
    <w:p>
      <w:r>
        <w:t xml:space="preserve">which splits a difference in crossing time into a distance term and a rate term. An </w:t>
      </w:r>
      <w:r>
        <w:rPr>
          <w:b/>
        </w:rPr>
        <w:t>inversion</w:t>
      </w:r>
      <w:r>
        <w:t xml:space="preserve"> is a pair in which A fell faster yet crossed later, occurring exactly when </w:t>
      </w:r>
      <w:r>
        <w:rPr>
          <w:i/>
        </w:rPr>
        <w:t>D_A</w:t>
      </w:r>
      <w:r>
        <w:t>/</w:t>
      </w:r>
      <w:r>
        <w:rPr>
          <w:i/>
        </w:rPr>
        <w:t>D_B</w:t>
      </w:r>
      <w:r>
        <w:t xml:space="preserve"> &gt; </w:t>
      </w:r>
      <w:r>
        <w:rPr>
          <w:i/>
        </w:rPr>
        <w:t>b_A</w:t>
      </w:r>
      <w:r>
        <w:t>/</w:t>
      </w:r>
      <w:r>
        <w:rPr>
          <w:i/>
        </w:rPr>
        <w:t>b_B</w:t>
      </w:r>
      <w:r>
        <w:t>.</w:t>
      </w:r>
    </w:p>
    <w:p>
      <w:r>
        <w:rPr>
          <w:b/>
        </w:rPr>
        <w:t>Multiplicity.</w:t>
      </w:r>
      <w:r>
        <w:t xml:space="preserve"> Where a question admits more than one test, every test the deposit supports is run, and the family is corrected by the Benjamini–Hochberg procedure (45) at a false discovery rate of 5 per cent.</w:t>
      </w:r>
    </w:p>
    <w:p>
      <w:r>
        <w:t>Four procedures are implemented in the released analysis code rather than taken from a package: the Brant test, the partial-proportional-odds fit, the product-of-coefficients mediation, and the residual-correlation sensitivity. These live in `exp30_ordinal_tolerance.py` and `exp34_mediation.py`; the partial-proportional-odds likelihood is validated against the proportional-odds fit it nests, agreeing to 1.0 × 10⁻¹⁰ in log-likelihood.</w:t>
      </w:r>
    </w:p>
    <w:p>
      <w:r>
        <w:t>Analyses used Python 3.14 with numpy 2.5.0 (46), scipy 1.18.0 (47), pandas 3.0.3 (48), statsmodels 0.15.0 (49) and lifelines 0.30.3 (50).</w:t>
      </w:r>
    </w:p>
    <w:p>
      <w:pPr>
        <w:spacing w:before="240"/>
      </w:pPr>
      <w:r>
        <w:rPr>
          <w:b/>
          <w:sz w:val="22"/>
        </w:rPr>
        <w:t>Ethics</w:t>
      </w:r>
    </w:p>
    <w:p>
      <w:r>
        <w:t xml:space="preserve">This study analysed publicly available, de-identified datasets, and generated one time-kill experiment in a reference strain of </w:t>
      </w:r>
      <w:r>
        <w:rPr>
          <w:i/>
        </w:rPr>
        <w:t>Escherichia coli</w:t>
      </w:r>
      <w:r>
        <w:t>. No human or animal subjects were involved, no patient samples were collected, and no individual is identifiable from any material presented here. The prospective experiment was performed at the Department of Microbiology, Iran University of Medical Sciences, Tehran, Iran, on a biosafety-level-1-appropriate quality-control strain (ATCC 25922); no institutional review board holds jurisdiction over secondary analysis of de-identified public data or over work on a bacterial quality-control strain.</w:t>
      </w:r>
    </w:p>
    <w:p>
      <w:pPr>
        <w:spacing w:before="240"/>
      </w:pPr>
      <w:r>
        <w:rPr>
          <w:b/>
          <w:sz w:val="22"/>
        </w:rPr>
        <w:t>Declaration of generative AI and AI-assisted technologies in the manuscript preparation process</w:t>
      </w:r>
    </w:p>
    <w:p>
      <w:r>
        <w:t>Anthropic's Claude was used under the author's direction to read the manuscript and to assist in running the Python analysis pipeline. Claude Sonnet 5 was further used, under the author's direction, to document and organise the analysis code and to prepare its commits to the version-controlled repository. No figure, image or schematic was generated by an artificial intelligence tool; every figure is plotted from values that regenerate from the public deposits. No artificial intelligence tool is an author. The author directed the study, verified every reported quantity against the source deposits and the regenerating pipeline, and takes full responsibility for the content of this article, including its accuracy and its originality.</w:t>
      </w:r>
    </w:p>
    <w:p>
      <w:pPr>
        <w:spacing w:before="240"/>
      </w:pPr>
      <w:r>
        <w:rPr>
          <w:b/>
          <w:sz w:val="22"/>
        </w:rPr>
        <w:t>Data availability</w:t>
      </w:r>
    </w:p>
    <w:p>
      <w:r>
        <w:t>Every dataset analysed here was already public under an open licence. Each is identified in Table 3 and cited alongside the article that first described it: Vijay and colleagues (21, 51), van Wijk and colleagues (8, 9), Windels and colleagues (23, 24), Kaur and colleagues (25, 26), and the hollow-fibre Source Data of Dubey and colleagues (10, 11), held out of every fitting step. The readings from the prospective experiment are deposited with the analysis code.</w:t>
      </w:r>
    </w:p>
    <w:p>
      <w:r>
        <w:t>That code, both audit scripts, the headroom tool and machine-readable receipts recording the software versions each stage ran under are in a public repository (52), dual-licensed: the code under the Massachusetts Institute of Technology (MIT) licence, and the manuscript, figures and results under CC BY 4.0. The deposits keep their depositors' own licences. It is at https://github.com/piranfar/detection-floor-tolerance-endpoints, and this manuscript was built from commit ac74e4a+ of it.</w:t>
      </w:r>
    </w:p>
    <w:p>
      <w:pPr>
        <w:spacing w:before="240"/>
      </w:pPr>
      <w:r>
        <w:rPr>
          <w:b/>
          <w:sz w:val="22"/>
        </w:rPr>
        <w:t>Declaration of computational reproducibility</w:t>
      </w:r>
    </w:p>
    <w:p>
      <w:r>
        <w:t>Every number in this paper is regenerated by a script that writes a machine-readable receipt, and an audit script recomputes 174 quantities quoted in the text from the tables they came from. A second audit checks that every number in the Abstract, Box 1, and every table and figure legend traces to a results file or receipt, that no numeric literal carries two incompatible statistical labels (a hazard ratio quoted where another table calls the same figure a p-value, for example), and that no cross-reference or sample-size count is stale. Neither audit pins every cell of every table.</w:t>
      </w:r>
    </w:p>
    <w:p>
      <w:pPr>
        <w:spacing w:before="240"/>
      </w:pPr>
      <w:r>
        <w:rPr>
          <w:b/>
          <w:sz w:val="24"/>
        </w:rPr>
        <w:t>Acknowledgments</w:t>
      </w:r>
    </w:p>
    <w:p>
      <w:r>
        <w:t>This research received no specific grant from any funding agency in the public, commercial or not-for-profit sectors.</w:t>
      </w:r>
    </w:p>
    <w:p>
      <w:r>
        <w:t>The author declares no competing interests.</w:t>
      </w:r>
    </w:p>
    <w:p>
      <w:r>
        <w:t>Vahhab Piranfar is the sole author and is responsible for conceptualisation, methodology, software, formal analysis, investigation, data curation, writing of the original draft, review and editing, and visualisation.</w:t>
      </w:r>
    </w:p>
    <w:p>
      <w:pPr>
        <w:spacing w:before="240"/>
      </w:pPr>
      <w:r>
        <w:rPr>
          <w:b/>
          <w:sz w:val="24"/>
        </w:rPr>
        <w:t>Figure legends</w:t>
      </w:r>
    </w:p>
    <w:p>
      <w:pPr>
        <w:spacing w:line="240" w:lineRule="auto"/>
        <w:jc w:val="center"/>
      </w:pPr>
      <w:r>
        <w:drawing>
          <wp:inline xmlns:a="http://schemas.openxmlformats.org/drawingml/2006/main" xmlns:pic="http://schemas.openxmlformats.org/drawingml/2006/picture">
            <wp:extent cx="5486400" cy="2557511"/>
            <wp:docPr id="1" name="Picture 1"/>
            <wp:cNvGraphicFramePr>
              <a:graphicFrameLocks noChangeAspect="1"/>
            </wp:cNvGraphicFramePr>
            <a:graphic>
              <a:graphicData uri="http://schemas.openxmlformats.org/drawingml/2006/picture">
                <pic:pic>
                  <pic:nvPicPr>
                    <pic:cNvPr id="0" name="fig1_dynamic_range.png"/>
                    <pic:cNvPicPr/>
                  </pic:nvPicPr>
                  <pic:blipFill>
                    <a:blip r:embed="rId10"/>
                    <a:stretch>
                      <a:fillRect/>
                    </a:stretch>
                  </pic:blipFill>
                  <pic:spPr>
                    <a:xfrm>
                      <a:off x="0" y="0"/>
                      <a:ext cx="5486400" cy="2557511"/>
                    </a:xfrm>
                    <a:prstGeom prst="rect"/>
                  </pic:spPr>
                </pic:pic>
              </a:graphicData>
            </a:graphic>
          </wp:inline>
        </w:drawing>
      </w:r>
    </w:p>
    <w:p>
      <w:pPr>
        <w:spacing w:line="276" w:lineRule="auto" w:after="240"/>
      </w:pPr>
      <w:r>
        <w:rPr>
          <w:b/>
          <w:sz w:val="20"/>
        </w:rPr>
        <w:t>Figure 1. A log-reduction endpoint is bounded by the assay floor, and the bound decides the phenotype.</w:t>
      </w:r>
      <w:r>
        <w:rPr>
          <w:sz w:val="20"/>
        </w:rPr>
        <w:t xml:space="preserve"> 217 clinical </w:t>
      </w:r>
      <w:r>
        <w:rPr>
          <w:i/>
          <w:sz w:val="20"/>
        </w:rPr>
        <w:t>M. tuberculosis</w:t>
      </w:r>
      <w:r>
        <w:rPr>
          <w:sz w:val="20"/>
        </w:rPr>
        <w:t xml:space="preserve"> isolates under rifampicin, from the deposit that carries the tolerance classification. (</w:t>
      </w:r>
      <w:r>
        <w:rPr>
          <w:b/>
          <w:sz w:val="20"/>
        </w:rPr>
        <w:t>A</w:t>
      </w:r>
      <w:r>
        <w:rPr>
          <w:sz w:val="20"/>
        </w:rPr>
        <w:t>) The distribution of day-5 most probable numbers. It stops at 23 per mL with a pile-up on it rather than tapering, and no value anywhere in the file lies below; that is the behaviour of a floor. (</w:t>
      </w:r>
      <w:r>
        <w:rPr>
          <w:b/>
          <w:sz w:val="20"/>
        </w:rPr>
        <w:t>B</w:t>
      </w:r>
      <w:r>
        <w:rPr>
          <w:sz w:val="20"/>
        </w:rPr>
        <w:t>) Headroom, the distance from each isolate's starting density down to that floor, ranked across isolates, against the depth each tolerance endpoint requires. No isolate is short of the 90 or 99 per cent endpoint. Thirty-three of 217 fall in the shaded band below the 99.99 per cent endpoint, and all 33 are recorded as failing to reach it. (</w:t>
      </w:r>
      <w:r>
        <w:rPr>
          <w:b/>
          <w:sz w:val="20"/>
        </w:rPr>
        <w:t>C</w:t>
      </w:r>
      <w:r>
        <w:rPr>
          <w:sz w:val="20"/>
        </w:rPr>
        <w:t xml:space="preserve">) The eighteen isolates of the 15-day panel whose day-5 reading was censored at the floor. Their true final counts are unknown below </w:t>
      </w:r>
      <w:r>
        <w:rPr>
          <w:i/>
          <w:sz w:val="20"/>
        </w:rPr>
        <w:t>L</w:t>
      </w:r>
      <w:r>
        <w:rPr>
          <w:sz w:val="20"/>
        </w:rPr>
        <w:t xml:space="preserve">, so the assay cannot distinguish their final viable burdens; what is plotted is the recorded fraction </w:t>
      </w:r>
      <w:r>
        <w:rPr>
          <w:i/>
          <w:sz w:val="20"/>
        </w:rPr>
        <w:t>L</w:t>
      </w:r>
      <w:r>
        <w:rPr>
          <w:sz w:val="20"/>
        </w:rPr>
        <w:t>/</w:t>
      </w:r>
      <w:r>
        <w:rPr>
          <w:i/>
          <w:sz w:val="20"/>
        </w:rPr>
        <w:t>N₀</w:t>
      </w:r>
      <w:r>
        <w:rPr>
          <w:sz w:val="20"/>
        </w:rPr>
        <w:t xml:space="preserve">, which is what a censored reading computes, so the 265-fold span in apparent survival is exactly the 265-fold span in starting density. The dotted lines are the deposited classification thresholds. Which side of the low/medium cut an isolate falls on is settled by where it began, not by what the reading measured, though reaching the floor at all required rifampicin to cover that isolate's whole headroom, at least 3.00 logs for the shallowest and 5.42 for the deepest. For the twelve below the cut, no count the assay admits leaves any class but </w:t>
      </w:r>
      <w:r>
        <w:rPr>
          <w:b/>
          <w:sz w:val="20"/>
        </w:rPr>
        <w:t>low</w:t>
      </w:r>
      <w:r>
        <w:rPr>
          <w:sz w:val="20"/>
        </w:rPr>
        <w:t xml:space="preserve"> compatible; for the six that sit exactly on it the compatible range straddles the cut and two classes remain.</w:t>
      </w:r>
    </w:p>
    <w:p>
      <w:pPr>
        <w:spacing w:line="240" w:lineRule="auto"/>
        <w:jc w:val="center"/>
      </w:pPr>
      <w:r>
        <w:drawing>
          <wp:inline xmlns:a="http://schemas.openxmlformats.org/drawingml/2006/main" xmlns:pic="http://schemas.openxmlformats.org/drawingml/2006/picture">
            <wp:extent cx="5486400" cy="2704636"/>
            <wp:docPr id="2" name="Picture 2"/>
            <wp:cNvGraphicFramePr>
              <a:graphicFrameLocks noChangeAspect="1"/>
            </wp:cNvGraphicFramePr>
            <a:graphic>
              <a:graphicData uri="http://schemas.openxmlformats.org/drawingml/2006/picture">
                <pic:pic>
                  <pic:nvPicPr>
                    <pic:cNvPr id="0" name="fig2_rate_vs_duration.png"/>
                    <pic:cNvPicPr/>
                  </pic:nvPicPr>
                  <pic:blipFill>
                    <a:blip r:embed="rId11"/>
                    <a:stretch>
                      <a:fillRect/>
                    </a:stretch>
                  </pic:blipFill>
                  <pic:spPr>
                    <a:xfrm>
                      <a:off x="0" y="0"/>
                      <a:ext cx="5486400" cy="2704636"/>
                    </a:xfrm>
                    <a:prstGeom prst="rect"/>
                  </pic:spPr>
                </pic:pic>
              </a:graphicData>
            </a:graphic>
          </wp:inline>
        </w:drawing>
      </w:r>
    </w:p>
    <w:p>
      <w:pPr>
        <w:spacing w:line="276" w:lineRule="auto" w:after="240"/>
      </w:pPr>
      <w:r>
        <w:rPr>
          <w:b/>
          <w:sz w:val="20"/>
        </w:rPr>
        <w:t>Figure 2. Where the inoculum is set by protocol, the two summaries still diverge.</w:t>
      </w:r>
      <w:r>
        <w:rPr>
          <w:sz w:val="20"/>
        </w:rPr>
        <w:t xml:space="preserve"> Six laboratories, one written protocol, one stock of </w:t>
      </w:r>
      <w:r>
        <w:rPr>
          <w:i/>
          <w:sz w:val="20"/>
        </w:rPr>
        <w:t>M. tuberculosis</w:t>
      </w:r>
      <w:r>
        <w:rPr>
          <w:sz w:val="20"/>
        </w:rPr>
        <w:t xml:space="preserve"> H37Rv, moxifloxacin at ten times the minimum inhibitory concentration. (</w:t>
      </w:r>
      <w:r>
        <w:rPr>
          <w:b/>
          <w:sz w:val="20"/>
        </w:rPr>
        <w:t>A</w:t>
      </w:r>
      <w:r>
        <w:rPr>
          <w:sz w:val="20"/>
        </w:rPr>
        <w:t>) The kill rate by censored maximum likelihood with 95 per cent profile-likelihood intervals; every laboratory yields one, spanning 5.2-fold. (</w:t>
      </w:r>
      <w:r>
        <w:rPr>
          <w:b/>
          <w:sz w:val="20"/>
        </w:rPr>
        <w:t>B</w:t>
      </w:r>
      <w:r>
        <w:rPr>
          <w:sz w:val="20"/>
        </w:rPr>
        <w:t>) The two summaries against each other. The three lowest starting densities are exactly the three laboratories that recorded crossings at the 100 µL plating; the kill rate produces no such separation. The crossing times themselves are Figure S1, with the laboratory-level tests this design does and does not support.</w:t>
      </w:r>
    </w:p>
    <w:p>
      <w:pPr>
        <w:spacing w:before="240"/>
      </w:pPr>
      <w:r>
        <w:rPr>
          <w:b/>
          <w:sz w:val="24"/>
        </w:rPr>
        <w:t>Supplemental material</w:t>
      </w:r>
    </w:p>
    <w:p>
      <w:r>
        <w:t>The supplemental file carries the full Materials and Methods, the analyses named above as supplementary text, and 26 supplemental tables. Of those, 9 belong to analyses reported in that file rather than in this article, and are cited there at the point where each is used.</w:t>
      </w:r>
    </w:p>
    <w:p>
      <w:pPr>
        <w:spacing w:before="240"/>
      </w:pPr>
      <w:r>
        <w:rPr>
          <w:b/>
          <w:sz w:val="24"/>
        </w:rPr>
        <w:t>Tables</w:t>
      </w:r>
    </w:p>
    <w:p>
      <w:r>
        <w:rPr>
          <w:b/>
        </w:rPr>
        <w:t>Table 1.</w:t>
      </w:r>
      <w:r>
        <w:t xml:space="preserve"> The reduction each tolerance endpoint requires against the reduction the assay can resolve.</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40"/>
            </w:pPr>
            <w:r>
              <w:rPr>
                <w:b/>
                <w:sz w:val="18"/>
              </w:rPr>
            </w:r>
            <w:r>
              <w:rPr>
                <w:b/>
                <w:sz w:val="18"/>
              </w:rPr>
              <w:t>Prior culture</w:t>
            </w:r>
          </w:p>
        </w:tc>
        <w:tc>
          <w:tcPr>
            <w:tcW w:type="dxa" w:w="1560"/>
          </w:tcPr>
          <w:p>
            <w:pPr>
              <w:spacing w:line="240" w:lineRule="auto" w:after="40"/>
            </w:pPr>
            <w:r>
              <w:rPr>
                <w:b/>
                <w:sz w:val="18"/>
              </w:rPr>
            </w:r>
            <w:r>
              <w:rPr>
                <w:b/>
                <w:sz w:val="18"/>
              </w:rPr>
              <w:t>Endpoint</w:t>
            </w:r>
          </w:p>
        </w:tc>
        <w:tc>
          <w:tcPr>
            <w:tcW w:type="dxa" w:w="1560"/>
          </w:tcPr>
          <w:p>
            <w:pPr>
              <w:spacing w:line="240" w:lineRule="auto" w:after="40"/>
            </w:pPr>
            <w:r>
              <w:rPr>
                <w:b/>
                <w:sz w:val="18"/>
              </w:rPr>
            </w:r>
            <w:r>
              <w:rPr>
                <w:b/>
                <w:sz w:val="18"/>
              </w:rPr>
              <w:t>Isolates</w:t>
            </w:r>
          </w:p>
        </w:tc>
        <w:tc>
          <w:tcPr>
            <w:tcW w:type="dxa" w:w="1560"/>
          </w:tcPr>
          <w:p>
            <w:pPr>
              <w:spacing w:line="240" w:lineRule="auto" w:after="40"/>
            </w:pPr>
            <w:r>
              <w:rPr>
                <w:b/>
                <w:sz w:val="18"/>
              </w:rPr>
            </w:r>
            <w:r>
              <w:rPr>
                <w:b/>
                <w:sz w:val="18"/>
              </w:rPr>
              <w:t>Short of headroom</w:t>
            </w:r>
          </w:p>
        </w:tc>
        <w:tc>
          <w:tcPr>
            <w:tcW w:type="dxa" w:w="1560"/>
          </w:tcPr>
          <w:p>
            <w:pPr>
              <w:spacing w:line="240" w:lineRule="auto" w:after="40"/>
            </w:pPr>
            <w:r>
              <w:rPr>
                <w:b/>
                <w:sz w:val="18"/>
              </w:rPr>
            </w:r>
            <w:r>
              <w:rPr>
                <w:b/>
                <w:sz w:val="18"/>
              </w:rPr>
              <w:t>Fraction short</w:t>
            </w:r>
          </w:p>
        </w:tc>
        <w:tc>
          <w:tcPr>
            <w:tcW w:type="dxa" w:w="1560"/>
          </w:tcPr>
          <w:p>
            <w:pPr>
              <w:spacing w:line="240" w:lineRule="auto" w:after="40"/>
            </w:pPr>
            <w:r>
              <w:rPr>
                <w:b/>
                <w:sz w:val="18"/>
              </w:rPr>
            </w:r>
            <w:r>
              <w:rPr>
                <w:b/>
                <w:sz w:val="18"/>
              </w:rPr>
              <w:t>At ceiling: short vs ample</w:t>
            </w:r>
          </w:p>
        </w:tc>
      </w:tr>
      <w:tr>
        <w:tc>
          <w:tcPr>
            <w:tcW w:type="dxa" w:w="1560"/>
          </w:tcPr>
          <w:p>
            <w:pPr>
              <w:spacing w:line="240" w:lineRule="auto" w:after="40"/>
            </w:pPr>
            <w:r>
              <w:rPr>
                <w:sz w:val="18"/>
              </w:rPr>
            </w:r>
            <w:r>
              <w:rPr>
                <w:sz w:val="18"/>
              </w:rPr>
              <w:t>15 days</w:t>
            </w:r>
          </w:p>
        </w:tc>
        <w:tc>
          <w:tcPr>
            <w:tcW w:type="dxa" w:w="1560"/>
          </w:tcPr>
          <w:p>
            <w:pPr>
              <w:spacing w:line="240" w:lineRule="auto" w:after="40"/>
            </w:pPr>
            <w:r>
              <w:rPr>
                <w:sz w:val="18"/>
              </w:rPr>
            </w:r>
            <w:r>
              <w:rPr>
                <w:sz w:val="18"/>
              </w:rPr>
              <w:t>90% (1 log)</w:t>
            </w:r>
          </w:p>
        </w:tc>
        <w:tc>
          <w:tcPr>
            <w:tcW w:type="dxa" w:w="1560"/>
          </w:tcPr>
          <w:p>
            <w:pPr>
              <w:spacing w:line="240" w:lineRule="auto" w:after="40"/>
            </w:pPr>
            <w:r>
              <w:rPr>
                <w:sz w:val="18"/>
              </w:rPr>
            </w:r>
            <w:r>
              <w:rPr>
                <w:sz w:val="18"/>
              </w:rPr>
              <w:t>217</w:t>
            </w:r>
          </w:p>
        </w:tc>
        <w:tc>
          <w:tcPr>
            <w:tcW w:type="dxa" w:w="1560"/>
          </w:tcPr>
          <w:p>
            <w:pPr>
              <w:spacing w:line="240" w:lineRule="auto" w:after="40"/>
            </w:pPr>
            <w:r>
              <w:rPr>
                <w:sz w:val="18"/>
              </w:rPr>
            </w:r>
            <w:r>
              <w:rPr>
                <w:sz w:val="18"/>
              </w:rPr>
              <w:t>0</w:t>
            </w:r>
          </w:p>
        </w:tc>
        <w:tc>
          <w:tcPr>
            <w:tcW w:type="dxa" w:w="1560"/>
          </w:tcPr>
          <w:p>
            <w:pPr>
              <w:spacing w:line="240" w:lineRule="auto" w:after="40"/>
            </w:pPr>
            <w:r>
              <w:rPr>
                <w:sz w:val="18"/>
              </w:rPr>
            </w:r>
            <w:r>
              <w:rPr>
                <w:sz w:val="18"/>
              </w:rPr>
              <w:t>0.0%</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15 days</w:t>
            </w:r>
          </w:p>
        </w:tc>
        <w:tc>
          <w:tcPr>
            <w:tcW w:type="dxa" w:w="1560"/>
          </w:tcPr>
          <w:p>
            <w:pPr>
              <w:spacing w:line="240" w:lineRule="auto" w:after="40"/>
            </w:pPr>
            <w:r>
              <w:rPr>
                <w:sz w:val="18"/>
              </w:rPr>
            </w:r>
            <w:r>
              <w:rPr>
                <w:sz w:val="18"/>
              </w:rPr>
              <w:t>99% (2 log)</w:t>
            </w:r>
          </w:p>
        </w:tc>
        <w:tc>
          <w:tcPr>
            <w:tcW w:type="dxa" w:w="1560"/>
          </w:tcPr>
          <w:p>
            <w:pPr>
              <w:spacing w:line="240" w:lineRule="auto" w:after="40"/>
            </w:pPr>
            <w:r>
              <w:rPr>
                <w:sz w:val="18"/>
              </w:rPr>
            </w:r>
            <w:r>
              <w:rPr>
                <w:sz w:val="18"/>
              </w:rPr>
              <w:t>217</w:t>
            </w:r>
          </w:p>
        </w:tc>
        <w:tc>
          <w:tcPr>
            <w:tcW w:type="dxa" w:w="1560"/>
          </w:tcPr>
          <w:p>
            <w:pPr>
              <w:spacing w:line="240" w:lineRule="auto" w:after="40"/>
            </w:pPr>
            <w:r>
              <w:rPr>
                <w:sz w:val="18"/>
              </w:rPr>
            </w:r>
            <w:r>
              <w:rPr>
                <w:sz w:val="18"/>
              </w:rPr>
              <w:t>0</w:t>
            </w:r>
          </w:p>
        </w:tc>
        <w:tc>
          <w:tcPr>
            <w:tcW w:type="dxa" w:w="1560"/>
          </w:tcPr>
          <w:p>
            <w:pPr>
              <w:spacing w:line="240" w:lineRule="auto" w:after="40"/>
            </w:pPr>
            <w:r>
              <w:rPr>
                <w:sz w:val="18"/>
              </w:rPr>
            </w:r>
            <w:r>
              <w:rPr>
                <w:sz w:val="18"/>
              </w:rPr>
              <w:t>0.0%</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15 days</w:t>
            </w:r>
          </w:p>
        </w:tc>
        <w:tc>
          <w:tcPr>
            <w:tcW w:type="dxa" w:w="1560"/>
          </w:tcPr>
          <w:p>
            <w:pPr>
              <w:spacing w:line="240" w:lineRule="auto" w:after="40"/>
            </w:pPr>
            <w:r>
              <w:rPr>
                <w:sz w:val="18"/>
              </w:rPr>
            </w:r>
            <w:r>
              <w:rPr>
                <w:sz w:val="18"/>
              </w:rPr>
              <w:t>99.99% (4 log)</w:t>
            </w:r>
          </w:p>
        </w:tc>
        <w:tc>
          <w:tcPr>
            <w:tcW w:type="dxa" w:w="1560"/>
          </w:tcPr>
          <w:p>
            <w:pPr>
              <w:spacing w:line="240" w:lineRule="auto" w:after="40"/>
            </w:pPr>
            <w:r>
              <w:rPr>
                <w:sz w:val="18"/>
              </w:rPr>
            </w:r>
            <w:r>
              <w:rPr>
                <w:sz w:val="18"/>
              </w:rPr>
              <w:t>217</w:t>
            </w:r>
          </w:p>
        </w:tc>
        <w:tc>
          <w:tcPr>
            <w:tcW w:type="dxa" w:w="1560"/>
          </w:tcPr>
          <w:p>
            <w:pPr>
              <w:spacing w:line="240" w:lineRule="auto" w:after="40"/>
            </w:pPr>
            <w:r>
              <w:rPr>
                <w:sz w:val="18"/>
              </w:rPr>
            </w:r>
            <w:r>
              <w:rPr>
                <w:sz w:val="18"/>
              </w:rPr>
              <w:t>33</w:t>
            </w:r>
          </w:p>
        </w:tc>
        <w:tc>
          <w:tcPr>
            <w:tcW w:type="dxa" w:w="1560"/>
          </w:tcPr>
          <w:p>
            <w:pPr>
              <w:spacing w:line="240" w:lineRule="auto" w:after="40"/>
            </w:pPr>
            <w:r>
              <w:rPr>
                <w:sz w:val="18"/>
              </w:rPr>
            </w:r>
            <w:r>
              <w:rPr>
                <w:sz w:val="18"/>
              </w:rPr>
              <w:t>15.2%</w:t>
            </w:r>
          </w:p>
        </w:tc>
        <w:tc>
          <w:tcPr>
            <w:tcW w:type="dxa" w:w="1560"/>
          </w:tcPr>
          <w:p>
            <w:pPr>
              <w:spacing w:line="240" w:lineRule="auto" w:after="40"/>
            </w:pPr>
            <w:r>
              <w:rPr>
                <w:sz w:val="18"/>
              </w:rPr>
            </w:r>
            <w:r>
              <w:rPr>
                <w:sz w:val="18"/>
              </w:rPr>
              <w:t>100% vs 88%</w:t>
            </w:r>
          </w:p>
        </w:tc>
      </w:tr>
      <w:tr>
        <w:tc>
          <w:tcPr>
            <w:tcW w:type="dxa" w:w="1560"/>
          </w:tcPr>
          <w:p>
            <w:pPr>
              <w:spacing w:line="240" w:lineRule="auto" w:after="40"/>
            </w:pPr>
            <w:r>
              <w:rPr>
                <w:sz w:val="18"/>
              </w:rPr>
            </w:r>
            <w:r>
              <w:rPr>
                <w:sz w:val="18"/>
              </w:rPr>
              <w:t>60 days</w:t>
            </w:r>
          </w:p>
        </w:tc>
        <w:tc>
          <w:tcPr>
            <w:tcW w:type="dxa" w:w="1560"/>
          </w:tcPr>
          <w:p>
            <w:pPr>
              <w:spacing w:line="240" w:lineRule="auto" w:after="40"/>
            </w:pPr>
            <w:r>
              <w:rPr>
                <w:sz w:val="18"/>
              </w:rPr>
            </w:r>
            <w:r>
              <w:rPr>
                <w:sz w:val="18"/>
              </w:rPr>
              <w:t>90% (1 log)</w:t>
            </w:r>
          </w:p>
        </w:tc>
        <w:tc>
          <w:tcPr>
            <w:tcW w:type="dxa" w:w="1560"/>
          </w:tcPr>
          <w:p>
            <w:pPr>
              <w:spacing w:line="240" w:lineRule="auto" w:after="40"/>
            </w:pPr>
            <w:r>
              <w:rPr>
                <w:sz w:val="18"/>
              </w:rPr>
            </w:r>
            <w:r>
              <w:rPr>
                <w:sz w:val="18"/>
              </w:rPr>
              <w:t>210</w:t>
            </w:r>
          </w:p>
        </w:tc>
        <w:tc>
          <w:tcPr>
            <w:tcW w:type="dxa" w:w="1560"/>
          </w:tcPr>
          <w:p>
            <w:pPr>
              <w:spacing w:line="240" w:lineRule="auto" w:after="40"/>
            </w:pPr>
            <w:r>
              <w:rPr>
                <w:sz w:val="18"/>
              </w:rPr>
            </w:r>
            <w:r>
              <w:rPr>
                <w:sz w:val="18"/>
              </w:rPr>
              <w:t>0</w:t>
            </w:r>
          </w:p>
        </w:tc>
        <w:tc>
          <w:tcPr>
            <w:tcW w:type="dxa" w:w="1560"/>
          </w:tcPr>
          <w:p>
            <w:pPr>
              <w:spacing w:line="240" w:lineRule="auto" w:after="40"/>
            </w:pPr>
            <w:r>
              <w:rPr>
                <w:sz w:val="18"/>
              </w:rPr>
            </w:r>
            <w:r>
              <w:rPr>
                <w:sz w:val="18"/>
              </w:rPr>
              <w:t>0.0%</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60 days</w:t>
            </w:r>
          </w:p>
        </w:tc>
        <w:tc>
          <w:tcPr>
            <w:tcW w:type="dxa" w:w="1560"/>
          </w:tcPr>
          <w:p>
            <w:pPr>
              <w:spacing w:line="240" w:lineRule="auto" w:after="40"/>
            </w:pPr>
            <w:r>
              <w:rPr>
                <w:sz w:val="18"/>
              </w:rPr>
            </w:r>
            <w:r>
              <w:rPr>
                <w:sz w:val="18"/>
              </w:rPr>
              <w:t>99% (2 log)</w:t>
            </w:r>
          </w:p>
        </w:tc>
        <w:tc>
          <w:tcPr>
            <w:tcW w:type="dxa" w:w="1560"/>
          </w:tcPr>
          <w:p>
            <w:pPr>
              <w:spacing w:line="240" w:lineRule="auto" w:after="40"/>
            </w:pPr>
            <w:r>
              <w:rPr>
                <w:sz w:val="18"/>
              </w:rPr>
            </w:r>
            <w:r>
              <w:rPr>
                <w:sz w:val="18"/>
              </w:rPr>
              <w:t>210</w:t>
            </w:r>
          </w:p>
        </w:tc>
        <w:tc>
          <w:tcPr>
            <w:tcW w:type="dxa" w:w="1560"/>
          </w:tcPr>
          <w:p>
            <w:pPr>
              <w:spacing w:line="240" w:lineRule="auto" w:after="40"/>
            </w:pPr>
            <w:r>
              <w:rPr>
                <w:sz w:val="18"/>
              </w:rPr>
            </w:r>
            <w:r>
              <w:rPr>
                <w:sz w:val="18"/>
              </w:rPr>
              <w:t>0</w:t>
            </w:r>
          </w:p>
        </w:tc>
        <w:tc>
          <w:tcPr>
            <w:tcW w:type="dxa" w:w="1560"/>
          </w:tcPr>
          <w:p>
            <w:pPr>
              <w:spacing w:line="240" w:lineRule="auto" w:after="40"/>
            </w:pPr>
            <w:r>
              <w:rPr>
                <w:sz w:val="18"/>
              </w:rPr>
            </w:r>
            <w:r>
              <w:rPr>
                <w:sz w:val="18"/>
              </w:rPr>
              <w:t>0.0%</w:t>
            </w:r>
          </w:p>
        </w:tc>
        <w:tc>
          <w:tcPr>
            <w:tcW w:type="dxa" w:w="1560"/>
          </w:tcPr>
          <w:p>
            <w:pPr>
              <w:spacing w:line="240" w:lineRule="auto" w:after="40"/>
            </w:pPr>
            <w:r>
              <w:rPr>
                <w:sz w:val="18"/>
              </w:rPr>
            </w:r>
            <w:r>
              <w:rPr>
                <w:sz w:val="18"/>
              </w:rPr>
              <w:t>-</w:t>
            </w:r>
          </w:p>
        </w:tc>
      </w:tr>
      <w:tr>
        <w:tc>
          <w:tcPr>
            <w:tcW w:type="dxa" w:w="1560"/>
          </w:tcPr>
          <w:p>
            <w:pPr>
              <w:spacing w:line="240" w:lineRule="auto" w:after="40"/>
            </w:pPr>
            <w:r>
              <w:rPr>
                <w:sz w:val="18"/>
              </w:rPr>
            </w:r>
            <w:r>
              <w:rPr>
                <w:sz w:val="18"/>
              </w:rPr>
              <w:t>60 days</w:t>
            </w:r>
          </w:p>
        </w:tc>
        <w:tc>
          <w:tcPr>
            <w:tcW w:type="dxa" w:w="1560"/>
          </w:tcPr>
          <w:p>
            <w:pPr>
              <w:spacing w:line="240" w:lineRule="auto" w:after="40"/>
            </w:pPr>
            <w:r>
              <w:rPr>
                <w:sz w:val="18"/>
              </w:rPr>
            </w:r>
            <w:r>
              <w:rPr>
                <w:sz w:val="18"/>
              </w:rPr>
              <w:t>99.99% (4 log)</w:t>
            </w:r>
          </w:p>
        </w:tc>
        <w:tc>
          <w:tcPr>
            <w:tcW w:type="dxa" w:w="1560"/>
          </w:tcPr>
          <w:p>
            <w:pPr>
              <w:spacing w:line="240" w:lineRule="auto" w:after="40"/>
            </w:pPr>
            <w:r>
              <w:rPr>
                <w:sz w:val="18"/>
              </w:rPr>
            </w:r>
            <w:r>
              <w:rPr>
                <w:sz w:val="18"/>
              </w:rPr>
              <w:t>210</w:t>
            </w:r>
          </w:p>
        </w:tc>
        <w:tc>
          <w:tcPr>
            <w:tcW w:type="dxa" w:w="1560"/>
          </w:tcPr>
          <w:p>
            <w:pPr>
              <w:spacing w:line="240" w:lineRule="auto" w:after="40"/>
            </w:pPr>
            <w:r>
              <w:rPr>
                <w:sz w:val="18"/>
              </w:rPr>
            </w:r>
            <w:r>
              <w:rPr>
                <w:sz w:val="18"/>
              </w:rPr>
              <w:t>7</w:t>
            </w:r>
          </w:p>
        </w:tc>
        <w:tc>
          <w:tcPr>
            <w:tcW w:type="dxa" w:w="1560"/>
          </w:tcPr>
          <w:p>
            <w:pPr>
              <w:spacing w:line="240" w:lineRule="auto" w:after="40"/>
            </w:pPr>
            <w:r>
              <w:rPr>
                <w:sz w:val="18"/>
              </w:rPr>
            </w:r>
            <w:r>
              <w:rPr>
                <w:sz w:val="18"/>
              </w:rPr>
              <w:t>3.3%</w:t>
            </w:r>
          </w:p>
        </w:tc>
        <w:tc>
          <w:tcPr>
            <w:tcW w:type="dxa" w:w="1560"/>
          </w:tcPr>
          <w:p>
            <w:pPr>
              <w:spacing w:line="240" w:lineRule="auto" w:after="40"/>
            </w:pPr>
            <w:r>
              <w:rPr>
                <w:sz w:val="18"/>
              </w:rPr>
            </w:r>
            <w:r>
              <w:rPr>
                <w:sz w:val="18"/>
              </w:rPr>
              <w:t>100% vs 95%</w:t>
            </w:r>
          </w:p>
        </w:tc>
      </w:tr>
    </w:tbl>
    <w:p/>
    <w:p>
      <w:r>
        <w:rPr>
          <w:i/>
        </w:rPr>
        <w:t>Note.</w:t>
      </w:r>
      <w:r>
        <w:t xml:space="preserve"> In the 15-day and the 60-day prior-culture panel alike. Headroom is the distance from an isolate's starting density down to the day-5 MPN floor of 23 per mL. An isolate short of headroom cannot reach that endpoint however completely the drug worked, and every such isolate is recorded at the assay ceiling.</w:t>
      </w:r>
    </w:p>
    <w:p>
      <w:r>
        <w:rPr>
          <w:b/>
        </w:rPr>
        <w:t>Table 2.</w:t>
      </w:r>
      <w:r>
        <w:t xml:space="preserve"> Isolates whose day-5 reading was censored at the MPN floor.</w:t>
      </w:r>
    </w:p>
    <w:tbl>
      <w:tblPr>
        <w:tblStyle w:val="TableGrid"/>
        <w:tblW w:type="auto" w:w="0"/>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line="240" w:lineRule="auto" w:after="40"/>
            </w:pPr>
            <w:r>
              <w:rPr>
                <w:b/>
                <w:sz w:val="18"/>
              </w:rPr>
            </w:r>
            <w:r>
              <w:rPr>
                <w:b/>
                <w:sz w:val="18"/>
              </w:rPr>
              <w:t>Prior culture</w:t>
            </w:r>
          </w:p>
        </w:tc>
        <w:tc>
          <w:tcPr>
            <w:tcW w:type="dxa" w:w="1040"/>
          </w:tcPr>
          <w:p>
            <w:pPr>
              <w:spacing w:line="240" w:lineRule="auto" w:after="40"/>
            </w:pPr>
            <w:r>
              <w:rPr>
                <w:b/>
                <w:sz w:val="18"/>
              </w:rPr>
            </w:r>
            <w:r>
              <w:rPr>
                <w:b/>
                <w:sz w:val="18"/>
              </w:rPr>
              <w:t>At the floor</w:t>
            </w:r>
          </w:p>
        </w:tc>
        <w:tc>
          <w:tcPr>
            <w:tcW w:type="dxa" w:w="1040"/>
          </w:tcPr>
          <w:p>
            <w:pPr>
              <w:spacing w:line="240" w:lineRule="auto" w:after="40"/>
            </w:pPr>
            <w:r>
              <w:rPr>
                <w:b/>
                <w:sz w:val="18"/>
              </w:rPr>
            </w:r>
            <w:r>
              <w:rPr>
                <w:b/>
                <w:sz w:val="18"/>
              </w:rPr>
              <w:t>Starting density spread</w:t>
            </w:r>
          </w:p>
        </w:tc>
        <w:tc>
          <w:tcPr>
            <w:tcW w:type="dxa" w:w="1040"/>
          </w:tcPr>
          <w:p>
            <w:pPr>
              <w:spacing w:line="240" w:lineRule="auto" w:after="40"/>
            </w:pPr>
            <w:r>
              <w:rPr>
                <w:b/>
                <w:sz w:val="18"/>
              </w:rPr>
            </w:r>
            <w:r>
              <w:rPr>
                <w:b/>
                <w:sz w:val="18"/>
              </w:rPr>
              <w:t>Recorded survival spread</w:t>
            </w:r>
          </w:p>
        </w:tc>
        <w:tc>
          <w:tcPr>
            <w:tcW w:type="dxa" w:w="1040"/>
          </w:tcPr>
          <w:p>
            <w:pPr>
              <w:spacing w:line="240" w:lineRule="auto" w:after="40"/>
            </w:pPr>
            <w:r>
              <w:rPr>
                <w:b/>
                <w:sz w:val="18"/>
              </w:rPr>
            </w:r>
            <w:r>
              <w:rPr>
                <w:b/>
                <w:sz w:val="18"/>
              </w:rPr>
              <w:t>Labels assigned at the floor</w:t>
            </w:r>
          </w:p>
        </w:tc>
        <w:tc>
          <w:tcPr>
            <w:tcW w:type="dxa" w:w="1040"/>
          </w:tcPr>
          <w:p>
            <w:pPr>
              <w:spacing w:line="240" w:lineRule="auto" w:after="40"/>
            </w:pPr>
            <w:r>
              <w:rPr>
                <w:b/>
                <w:sz w:val="18"/>
              </w:rPr>
            </w:r>
            <w:r>
              <w:rPr>
                <w:b/>
                <w:sz w:val="18"/>
              </w:rPr>
              <w:t>Ordered calls</w:t>
            </w:r>
          </w:p>
        </w:tc>
        <w:tc>
          <w:tcPr>
            <w:tcW w:type="dxa" w:w="1040"/>
          </w:tcPr>
          <w:p>
            <w:pPr>
              <w:spacing w:line="240" w:lineRule="auto" w:after="40"/>
            </w:pPr>
            <w:r>
              <w:rPr>
                <w:b/>
                <w:sz w:val="18"/>
              </w:rPr>
            </w:r>
            <w:r>
              <w:rPr>
                <w:b/>
                <w:sz w:val="18"/>
              </w:rPr>
              <w:t>Measured</w:t>
            </w:r>
          </w:p>
        </w:tc>
        <w:tc>
          <w:tcPr>
            <w:tcW w:type="dxa" w:w="1040"/>
          </w:tcPr>
          <w:p>
            <w:pPr>
              <w:spacing w:line="240" w:lineRule="auto" w:after="40"/>
            </w:pPr>
            <w:r>
              <w:rPr>
                <w:b/>
                <w:sz w:val="18"/>
              </w:rPr>
            </w:r>
            <w:r>
              <w:rPr>
                <w:b/>
                <w:sz w:val="18"/>
              </w:rPr>
              <w:t>Single compatible class</w:t>
            </w:r>
          </w:p>
        </w:tc>
        <w:tc>
          <w:tcPr>
            <w:tcW w:type="dxa" w:w="1040"/>
          </w:tcPr>
          <w:p>
            <w:pPr>
              <w:spacing w:line="240" w:lineRule="auto" w:after="40"/>
            </w:pPr>
            <w:r>
              <w:rPr>
                <w:b/>
                <w:sz w:val="18"/>
              </w:rPr>
            </w:r>
            <w:r>
              <w:rPr>
                <w:b/>
                <w:sz w:val="18"/>
              </w:rPr>
              <w:t>Multiple compatible classes</w:t>
            </w:r>
          </w:p>
        </w:tc>
      </w:tr>
      <w:tr>
        <w:tc>
          <w:tcPr>
            <w:tcW w:type="dxa" w:w="1040"/>
          </w:tcPr>
          <w:p>
            <w:pPr>
              <w:spacing w:line="240" w:lineRule="auto" w:after="40"/>
            </w:pPr>
            <w:r>
              <w:rPr>
                <w:sz w:val="18"/>
              </w:rPr>
            </w:r>
            <w:r>
              <w:rPr>
                <w:sz w:val="18"/>
              </w:rPr>
              <w:t>15 days</w:t>
            </w:r>
          </w:p>
        </w:tc>
        <w:tc>
          <w:tcPr>
            <w:tcW w:type="dxa" w:w="1040"/>
          </w:tcPr>
          <w:p>
            <w:pPr>
              <w:spacing w:line="240" w:lineRule="auto" w:after="40"/>
            </w:pPr>
            <w:r>
              <w:rPr>
                <w:sz w:val="18"/>
              </w:rPr>
            </w:r>
            <w:r>
              <w:rPr>
                <w:sz w:val="18"/>
              </w:rPr>
              <w:t>18</w:t>
            </w:r>
          </w:p>
        </w:tc>
        <w:tc>
          <w:tcPr>
            <w:tcW w:type="dxa" w:w="1040"/>
          </w:tcPr>
          <w:p>
            <w:pPr>
              <w:spacing w:line="240" w:lineRule="auto" w:after="40"/>
            </w:pPr>
            <w:r>
              <w:rPr>
                <w:sz w:val="18"/>
              </w:rPr>
            </w:r>
            <w:r>
              <w:rPr>
                <w:sz w:val="18"/>
              </w:rPr>
              <w:t>265x</w:t>
            </w:r>
          </w:p>
        </w:tc>
        <w:tc>
          <w:tcPr>
            <w:tcW w:type="dxa" w:w="1040"/>
          </w:tcPr>
          <w:p>
            <w:pPr>
              <w:spacing w:line="240" w:lineRule="auto" w:after="40"/>
            </w:pPr>
            <w:r>
              <w:rPr>
                <w:sz w:val="18"/>
              </w:rPr>
            </w:r>
            <w:r>
              <w:rPr>
                <w:sz w:val="18"/>
              </w:rPr>
              <w:t>265x</w:t>
            </w:r>
          </w:p>
        </w:tc>
        <w:tc>
          <w:tcPr>
            <w:tcW w:type="dxa" w:w="1040"/>
          </w:tcPr>
          <w:p>
            <w:pPr>
              <w:spacing w:line="240" w:lineRule="auto" w:after="40"/>
            </w:pPr>
            <w:r>
              <w:rPr>
                <w:sz w:val="18"/>
              </w:rPr>
            </w:r>
            <w:r>
              <w:rPr>
                <w:sz w:val="18"/>
              </w:rPr>
              <w:t>Low: 12, Medium: 6</w:t>
            </w:r>
          </w:p>
        </w:tc>
        <w:tc>
          <w:tcPr>
            <w:tcW w:type="dxa" w:w="1040"/>
          </w:tcPr>
          <w:p>
            <w:pPr>
              <w:spacing w:line="240" w:lineRule="auto" w:after="40"/>
            </w:pPr>
            <w:r>
              <w:rPr>
                <w:sz w:val="18"/>
              </w:rPr>
            </w:r>
            <w:r>
              <w:rPr>
                <w:sz w:val="18"/>
              </w:rPr>
              <w:t>203</w:t>
            </w:r>
          </w:p>
        </w:tc>
        <w:tc>
          <w:tcPr>
            <w:tcW w:type="dxa" w:w="1040"/>
          </w:tcPr>
          <w:p>
            <w:pPr>
              <w:spacing w:line="240" w:lineRule="auto" w:after="40"/>
            </w:pPr>
            <w:r>
              <w:rPr>
                <w:sz w:val="18"/>
              </w:rPr>
            </w:r>
            <w:r>
              <w:rPr>
                <w:sz w:val="18"/>
              </w:rPr>
              <w:t>185</w:t>
            </w:r>
          </w:p>
        </w:tc>
        <w:tc>
          <w:tcPr>
            <w:tcW w:type="dxa" w:w="1040"/>
          </w:tcPr>
          <w:p>
            <w:pPr>
              <w:spacing w:line="240" w:lineRule="auto" w:after="40"/>
            </w:pPr>
            <w:r>
              <w:rPr>
                <w:sz w:val="18"/>
              </w:rPr>
            </w:r>
            <w:r>
              <w:rPr>
                <w:sz w:val="18"/>
              </w:rPr>
              <w:t>12</w:t>
            </w:r>
          </w:p>
        </w:tc>
        <w:tc>
          <w:tcPr>
            <w:tcW w:type="dxa" w:w="1040"/>
          </w:tcPr>
          <w:p>
            <w:pPr>
              <w:spacing w:line="240" w:lineRule="auto" w:after="40"/>
            </w:pPr>
            <w:r>
              <w:rPr>
                <w:sz w:val="18"/>
              </w:rPr>
            </w:r>
            <w:r>
              <w:rPr>
                <w:sz w:val="18"/>
              </w:rPr>
              <w:t>6</w:t>
            </w:r>
          </w:p>
        </w:tc>
      </w:tr>
      <w:tr>
        <w:tc>
          <w:tcPr>
            <w:tcW w:type="dxa" w:w="1040"/>
          </w:tcPr>
          <w:p>
            <w:pPr>
              <w:spacing w:line="240" w:lineRule="auto" w:after="40"/>
            </w:pPr>
            <w:r>
              <w:rPr>
                <w:sz w:val="18"/>
              </w:rPr>
            </w:r>
            <w:r>
              <w:rPr>
                <w:sz w:val="18"/>
              </w:rPr>
              <w:t>60 days</w:t>
            </w:r>
          </w:p>
        </w:tc>
        <w:tc>
          <w:tcPr>
            <w:tcW w:type="dxa" w:w="1040"/>
          </w:tcPr>
          <w:p>
            <w:pPr>
              <w:spacing w:line="240" w:lineRule="auto" w:after="40"/>
            </w:pPr>
            <w:r>
              <w:rPr>
                <w:sz w:val="18"/>
              </w:rPr>
            </w:r>
            <w:r>
              <w:rPr>
                <w:sz w:val="18"/>
              </w:rPr>
              <w:t>6</w:t>
            </w:r>
          </w:p>
        </w:tc>
        <w:tc>
          <w:tcPr>
            <w:tcW w:type="dxa" w:w="1040"/>
          </w:tcPr>
          <w:p>
            <w:pPr>
              <w:spacing w:line="240" w:lineRule="auto" w:after="40"/>
            </w:pPr>
            <w:r>
              <w:rPr>
                <w:sz w:val="18"/>
              </w:rPr>
            </w:r>
            <w:r>
              <w:rPr>
                <w:sz w:val="18"/>
              </w:rPr>
              <w:t>100x</w:t>
            </w:r>
          </w:p>
        </w:tc>
        <w:tc>
          <w:tcPr>
            <w:tcW w:type="dxa" w:w="1040"/>
          </w:tcPr>
          <w:p>
            <w:pPr>
              <w:spacing w:line="240" w:lineRule="auto" w:after="40"/>
            </w:pPr>
            <w:r>
              <w:rPr>
                <w:sz w:val="18"/>
              </w:rPr>
            </w:r>
            <w:r>
              <w:rPr>
                <w:sz w:val="18"/>
              </w:rPr>
              <w:t>100x</w:t>
            </w:r>
          </w:p>
        </w:tc>
        <w:tc>
          <w:tcPr>
            <w:tcW w:type="dxa" w:w="1040"/>
          </w:tcPr>
          <w:p>
            <w:pPr>
              <w:spacing w:line="240" w:lineRule="auto" w:after="40"/>
            </w:pPr>
            <w:r>
              <w:rPr>
                <w:sz w:val="18"/>
              </w:rPr>
            </w:r>
            <w:r>
              <w:rPr>
                <w:sz w:val="18"/>
              </w:rPr>
              <w:t>Low: 6</w:t>
            </w:r>
          </w:p>
        </w:tc>
        <w:tc>
          <w:tcPr>
            <w:tcW w:type="dxa" w:w="1040"/>
          </w:tcPr>
          <w:p>
            <w:pPr>
              <w:spacing w:line="240" w:lineRule="auto" w:after="40"/>
            </w:pPr>
            <w:r>
              <w:rPr>
                <w:sz w:val="18"/>
              </w:rPr>
            </w:r>
            <w:r>
              <w:rPr>
                <w:sz w:val="18"/>
              </w:rPr>
              <w:t>197</w:t>
            </w:r>
          </w:p>
        </w:tc>
        <w:tc>
          <w:tcPr>
            <w:tcW w:type="dxa" w:w="1040"/>
          </w:tcPr>
          <w:p>
            <w:pPr>
              <w:spacing w:line="240" w:lineRule="auto" w:after="40"/>
            </w:pPr>
            <w:r>
              <w:rPr>
                <w:sz w:val="18"/>
              </w:rPr>
            </w:r>
            <w:r>
              <w:rPr>
                <w:sz w:val="18"/>
              </w:rPr>
              <w:t>191</w:t>
            </w:r>
          </w:p>
        </w:tc>
        <w:tc>
          <w:tcPr>
            <w:tcW w:type="dxa" w:w="1040"/>
          </w:tcPr>
          <w:p>
            <w:pPr>
              <w:spacing w:line="240" w:lineRule="auto" w:after="40"/>
            </w:pPr>
            <w:r>
              <w:rPr>
                <w:sz w:val="18"/>
              </w:rPr>
            </w:r>
            <w:r>
              <w:rPr>
                <w:sz w:val="18"/>
              </w:rPr>
              <w:t>6</w:t>
            </w:r>
          </w:p>
        </w:tc>
        <w:tc>
          <w:tcPr>
            <w:tcW w:type="dxa" w:w="1040"/>
          </w:tcPr>
          <w:p>
            <w:pPr>
              <w:spacing w:line="240" w:lineRule="auto" w:after="40"/>
            </w:pPr>
            <w:r>
              <w:rPr>
                <w:sz w:val="18"/>
              </w:rPr>
            </w:r>
            <w:r>
              <w:rPr>
                <w:sz w:val="18"/>
              </w:rPr>
              <w:t>0</w:t>
            </w:r>
          </w:p>
        </w:tc>
      </w:tr>
    </w:tbl>
    <w:p/>
    <w:p>
      <w:r>
        <w:rPr>
          <w:i/>
        </w:rPr>
        <w:t>Note.</w:t>
      </w:r>
      <w:r>
        <w:t xml:space="preserve"> Starting densities differ across the row, so the same floor-level reading implies a different range of compatible fractional reductions in each; the recorded fraction is L/N0, so the spread in apparent survival equals the spread in starting density exactly, and the labels differ accordingly. The last four columns sort every call in the 15-day panel, not only the censored ones: a censored reading bounds the class from above, and sweeping the true count across the admissible range leaves twelve calls with a single compatible class and six with more than one. Reaching the floor at all is a property of the killing; which class is then compatible is a property of the starting density and the floor. Ordered calls is the denominator those four columns are taken over, and it is not the isolate count of Table 1: it counts only the isolates whose deposited label is one of the three ordered classes, leaving out the 14 at 15 days and the 13 at 60 days that carry the unordered fourth category.</w:t>
      </w:r>
    </w:p>
    <w:p>
      <w:r>
        <w:rPr>
          <w:b/>
        </w:rPr>
        <w:t>Table 3.</w:t>
      </w:r>
      <w:r>
        <w:t xml:space="preserve"> The five published deposits reanalysed.</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40"/>
            </w:pPr>
            <w:r>
              <w:rPr>
                <w:b/>
                <w:sz w:val="18"/>
              </w:rPr>
            </w:r>
            <w:r>
              <w:rPr>
                <w:b/>
                <w:sz w:val="18"/>
              </w:rPr>
              <w:t>Dataset</w:t>
            </w:r>
          </w:p>
        </w:tc>
        <w:tc>
          <w:tcPr>
            <w:tcW w:type="dxa" w:w="1560"/>
          </w:tcPr>
          <w:p>
            <w:pPr>
              <w:spacing w:line="240" w:lineRule="auto" w:after="40"/>
            </w:pPr>
            <w:r>
              <w:rPr>
                <w:b/>
                <w:sz w:val="18"/>
              </w:rPr>
            </w:r>
            <w:r>
              <w:rPr>
                <w:b/>
                <w:sz w:val="18"/>
              </w:rPr>
              <w:t>Organism</w:t>
            </w:r>
          </w:p>
        </w:tc>
        <w:tc>
          <w:tcPr>
            <w:tcW w:type="dxa" w:w="1560"/>
          </w:tcPr>
          <w:p>
            <w:pPr>
              <w:spacing w:line="240" w:lineRule="auto" w:after="40"/>
            </w:pPr>
            <w:r>
              <w:rPr>
                <w:b/>
                <w:sz w:val="18"/>
              </w:rPr>
            </w:r>
            <w:r>
              <w:rPr>
                <w:b/>
                <w:sz w:val="18"/>
              </w:rPr>
              <w:t>Drug and range</w:t>
            </w:r>
          </w:p>
        </w:tc>
        <w:tc>
          <w:tcPr>
            <w:tcW w:type="dxa" w:w="1560"/>
          </w:tcPr>
          <w:p>
            <w:pPr>
              <w:spacing w:line="240" w:lineRule="auto" w:after="40"/>
            </w:pPr>
            <w:r>
              <w:rPr>
                <w:b/>
                <w:sz w:val="18"/>
              </w:rPr>
            </w:r>
            <w:r>
              <w:rPr>
                <w:b/>
                <w:sz w:val="18"/>
              </w:rPr>
              <w:t>Design</w:t>
            </w:r>
          </w:p>
        </w:tc>
        <w:tc>
          <w:tcPr>
            <w:tcW w:type="dxa" w:w="1560"/>
          </w:tcPr>
          <w:p>
            <w:pPr>
              <w:spacing w:line="240" w:lineRule="auto" w:after="40"/>
            </w:pPr>
            <w:r>
              <w:rPr>
                <w:b/>
                <w:sz w:val="18"/>
              </w:rPr>
            </w:r>
            <w:r>
              <w:rPr>
                <w:b/>
                <w:sz w:val="18"/>
              </w:rPr>
              <w:t>Deposit</w:t>
            </w:r>
          </w:p>
        </w:tc>
        <w:tc>
          <w:tcPr>
            <w:tcW w:type="dxa" w:w="1560"/>
          </w:tcPr>
          <w:p>
            <w:pPr>
              <w:spacing w:line="240" w:lineRule="auto" w:after="40"/>
            </w:pPr>
            <w:r>
              <w:rPr>
                <w:b/>
                <w:sz w:val="18"/>
              </w:rPr>
            </w:r>
            <w:r>
              <w:rPr>
                <w:b/>
                <w:sz w:val="18"/>
              </w:rPr>
              <w:t>Licence</w:t>
            </w:r>
          </w:p>
        </w:tc>
      </w:tr>
      <w:tr>
        <w:tc>
          <w:tcPr>
            <w:tcW w:type="dxa" w:w="1560"/>
          </w:tcPr>
          <w:p>
            <w:pPr>
              <w:spacing w:line="240" w:lineRule="auto" w:after="40"/>
            </w:pPr>
            <w:r>
              <w:rPr>
                <w:sz w:val="18"/>
              </w:rPr>
            </w:r>
            <w:r>
              <w:rPr>
                <w:sz w:val="18"/>
              </w:rPr>
              <w:t>Six-laboratory exercise</w:t>
            </w:r>
          </w:p>
        </w:tc>
        <w:tc>
          <w:tcPr>
            <w:tcW w:type="dxa" w:w="1560"/>
          </w:tcPr>
          <w:p>
            <w:pPr>
              <w:spacing w:line="240" w:lineRule="auto" w:after="40"/>
            </w:pPr>
            <w:r>
              <w:rPr>
                <w:sz w:val="18"/>
              </w:rPr>
            </w:r>
            <w:r>
              <w:rPr>
                <w:i/>
                <w:sz w:val="18"/>
              </w:rPr>
              <w:t>M. tuberculosis</w:t>
            </w:r>
            <w:r>
              <w:rPr>
                <w:sz w:val="18"/>
              </w:rPr>
              <w:t xml:space="preserve"> H37Rv</w:t>
            </w:r>
          </w:p>
        </w:tc>
        <w:tc>
          <w:tcPr>
            <w:tcW w:type="dxa" w:w="1560"/>
          </w:tcPr>
          <w:p>
            <w:pPr>
              <w:spacing w:line="240" w:lineRule="auto" w:after="40"/>
            </w:pPr>
            <w:r>
              <w:rPr>
                <w:sz w:val="18"/>
              </w:rPr>
            </w:r>
            <w:r>
              <w:rPr>
                <w:sz w:val="18"/>
              </w:rPr>
              <w:t>moxifloxacin, isoniazid, 1x and 10x MIC</w:t>
            </w:r>
          </w:p>
        </w:tc>
        <w:tc>
          <w:tcPr>
            <w:tcW w:type="dxa" w:w="1560"/>
          </w:tcPr>
          <w:p>
            <w:pPr>
              <w:spacing w:line="240" w:lineRule="auto" w:after="40"/>
            </w:pPr>
            <w:r>
              <w:rPr>
                <w:sz w:val="18"/>
              </w:rPr>
            </w:r>
            <w:r>
              <w:rPr>
                <w:sz w:val="18"/>
              </w:rPr>
              <w:t>90 flasks, 2 775 readings</w:t>
            </w:r>
          </w:p>
        </w:tc>
        <w:tc>
          <w:tcPr>
            <w:tcW w:type="dxa" w:w="1560"/>
          </w:tcPr>
          <w:p>
            <w:pPr>
              <w:spacing w:line="240" w:lineRule="auto" w:after="40"/>
            </w:pPr>
            <w:r>
              <w:rPr>
                <w:sz w:val="18"/>
              </w:rPr>
            </w:r>
            <w:r>
              <w:rPr>
                <w:sz w:val="18"/>
              </w:rPr>
              <w:t>figshare 19766083</w:t>
            </w:r>
          </w:p>
        </w:tc>
        <w:tc>
          <w:tcPr>
            <w:tcW w:type="dxa" w:w="1560"/>
          </w:tcPr>
          <w:p>
            <w:pPr>
              <w:spacing w:line="240" w:lineRule="auto" w:after="40"/>
            </w:pPr>
            <w:r>
              <w:rPr>
                <w:sz w:val="18"/>
              </w:rPr>
            </w:r>
            <w:r>
              <w:rPr>
                <w:sz w:val="18"/>
              </w:rPr>
              <w:t>CC BY 4.0</w:t>
            </w:r>
          </w:p>
        </w:tc>
      </w:tr>
      <w:tr>
        <w:tc>
          <w:tcPr>
            <w:tcW w:type="dxa" w:w="1560"/>
          </w:tcPr>
          <w:p>
            <w:pPr>
              <w:spacing w:line="240" w:lineRule="auto" w:after="40"/>
            </w:pPr>
            <w:r>
              <w:rPr>
                <w:sz w:val="18"/>
              </w:rPr>
            </w:r>
            <w:r>
              <w:rPr>
                <w:sz w:val="18"/>
              </w:rPr>
              <w:t>Clinical isolates</w:t>
            </w:r>
          </w:p>
        </w:tc>
        <w:tc>
          <w:tcPr>
            <w:tcW w:type="dxa" w:w="1560"/>
          </w:tcPr>
          <w:p>
            <w:pPr>
              <w:spacing w:line="240" w:lineRule="auto" w:after="40"/>
            </w:pPr>
            <w:r>
              <w:rPr>
                <w:sz w:val="18"/>
              </w:rPr>
            </w:r>
            <w:r>
              <w:rPr>
                <w:i/>
                <w:sz w:val="18"/>
              </w:rPr>
              <w:t>M. tuberculosis</w:t>
            </w:r>
            <w:r>
              <w:rPr>
                <w:sz w:val="18"/>
              </w:rPr>
              <w:t>, 217 isolates</w:t>
            </w:r>
          </w:p>
        </w:tc>
        <w:tc>
          <w:tcPr>
            <w:tcW w:type="dxa" w:w="1560"/>
          </w:tcPr>
          <w:p>
            <w:pPr>
              <w:spacing w:line="240" w:lineRule="auto" w:after="40"/>
            </w:pPr>
            <w:r>
              <w:rPr>
                <w:sz w:val="18"/>
              </w:rPr>
            </w:r>
            <w:r>
              <w:rPr>
                <w:sz w:val="18"/>
              </w:rPr>
              <w:t>rifampicin</w:t>
            </w:r>
          </w:p>
        </w:tc>
        <w:tc>
          <w:tcPr>
            <w:tcW w:type="dxa" w:w="1560"/>
          </w:tcPr>
          <w:p>
            <w:pPr>
              <w:spacing w:line="240" w:lineRule="auto" w:after="40"/>
            </w:pPr>
            <w:r>
              <w:rPr>
                <w:sz w:val="18"/>
              </w:rPr>
            </w:r>
            <w:r>
              <w:rPr>
                <w:sz w:val="18"/>
              </w:rPr>
              <w:t>6 duration endpoints per isolate</w:t>
            </w:r>
          </w:p>
        </w:tc>
        <w:tc>
          <w:tcPr>
            <w:tcW w:type="dxa" w:w="1560"/>
          </w:tcPr>
          <w:p>
            <w:pPr>
              <w:spacing w:line="240" w:lineRule="auto" w:after="40"/>
            </w:pPr>
            <w:r>
              <w:rPr>
                <w:sz w:val="18"/>
              </w:rPr>
            </w:r>
            <w:r>
              <w:rPr>
                <w:sz w:val="18"/>
              </w:rPr>
              <w:t>eLife 93243, suppl. file 2</w:t>
            </w:r>
          </w:p>
        </w:tc>
        <w:tc>
          <w:tcPr>
            <w:tcW w:type="dxa" w:w="1560"/>
          </w:tcPr>
          <w:p>
            <w:pPr>
              <w:spacing w:line="240" w:lineRule="auto" w:after="40"/>
            </w:pPr>
            <w:r>
              <w:rPr>
                <w:sz w:val="18"/>
              </w:rPr>
            </w:r>
            <w:r>
              <w:rPr>
                <w:sz w:val="18"/>
              </w:rPr>
              <w:t>CC BY 4.0</w:t>
            </w:r>
          </w:p>
        </w:tc>
      </w:tr>
      <w:tr>
        <w:tc>
          <w:tcPr>
            <w:tcW w:type="dxa" w:w="1560"/>
          </w:tcPr>
          <w:p>
            <w:pPr>
              <w:spacing w:line="240" w:lineRule="auto" w:after="40"/>
            </w:pPr>
            <w:r>
              <w:rPr>
                <w:sz w:val="18"/>
              </w:rPr>
            </w:r>
            <w:r>
              <w:rPr>
                <w:sz w:val="18"/>
              </w:rPr>
              <w:t>Evolved clones</w:t>
            </w:r>
          </w:p>
        </w:tc>
        <w:tc>
          <w:tcPr>
            <w:tcW w:type="dxa" w:w="1560"/>
          </w:tcPr>
          <w:p>
            <w:pPr>
              <w:spacing w:line="240" w:lineRule="auto" w:after="40"/>
            </w:pPr>
            <w:r>
              <w:rPr>
                <w:sz w:val="18"/>
              </w:rPr>
            </w:r>
            <w:r>
              <w:rPr>
                <w:i/>
                <w:sz w:val="18"/>
              </w:rPr>
              <w:t>E. coli</w:t>
            </w:r>
            <w:r>
              <w:rPr>
                <w:sz w:val="18"/>
              </w:rPr>
              <w:t>, 126 clones</w:t>
            </w:r>
          </w:p>
        </w:tc>
        <w:tc>
          <w:tcPr>
            <w:tcW w:type="dxa" w:w="1560"/>
          </w:tcPr>
          <w:p>
            <w:pPr>
              <w:spacing w:line="240" w:lineRule="auto" w:after="40"/>
            </w:pPr>
            <w:r>
              <w:rPr>
                <w:sz w:val="18"/>
              </w:rPr>
            </w:r>
            <w:r>
              <w:rPr>
                <w:sz w:val="18"/>
              </w:rPr>
              <w:t>amikacin</w:t>
            </w:r>
          </w:p>
        </w:tc>
        <w:tc>
          <w:tcPr>
            <w:tcW w:type="dxa" w:w="1560"/>
          </w:tcPr>
          <w:p>
            <w:pPr>
              <w:spacing w:line="240" w:lineRule="auto" w:after="40"/>
            </w:pPr>
            <w:r>
              <w:rPr>
                <w:sz w:val="18"/>
              </w:rPr>
            </w:r>
            <w:r>
              <w:rPr>
                <w:sz w:val="18"/>
              </w:rPr>
              <w:t>MIC and persister fraction per clone</w:t>
            </w:r>
          </w:p>
        </w:tc>
        <w:tc>
          <w:tcPr>
            <w:tcW w:type="dxa" w:w="1560"/>
          </w:tcPr>
          <w:p>
            <w:pPr>
              <w:spacing w:line="240" w:lineRule="auto" w:after="40"/>
            </w:pPr>
            <w:r>
              <w:rPr>
                <w:sz w:val="18"/>
              </w:rPr>
            </w:r>
            <w:r>
              <w:rPr>
                <w:sz w:val="18"/>
              </w:rPr>
              <w:t>Zenodo 7550302 (23)</w:t>
            </w:r>
          </w:p>
        </w:tc>
        <w:tc>
          <w:tcPr>
            <w:tcW w:type="dxa" w:w="1560"/>
          </w:tcPr>
          <w:p>
            <w:pPr>
              <w:spacing w:line="240" w:lineRule="auto" w:after="40"/>
            </w:pPr>
            <w:r>
              <w:rPr>
                <w:sz w:val="18"/>
              </w:rPr>
            </w:r>
            <w:r>
              <w:rPr>
                <w:sz w:val="18"/>
              </w:rPr>
              <w:t>CC BY 4.0</w:t>
            </w:r>
          </w:p>
        </w:tc>
      </w:tr>
      <w:tr>
        <w:tc>
          <w:tcPr>
            <w:tcW w:type="dxa" w:w="1560"/>
          </w:tcPr>
          <w:p>
            <w:pPr>
              <w:spacing w:line="240" w:lineRule="auto" w:after="40"/>
            </w:pPr>
            <w:r>
              <w:rPr>
                <w:sz w:val="18"/>
              </w:rPr>
            </w:r>
            <w:r>
              <w:rPr>
                <w:sz w:val="18"/>
              </w:rPr>
              <w:t>Concentration-by-time grid</w:t>
            </w:r>
          </w:p>
        </w:tc>
        <w:tc>
          <w:tcPr>
            <w:tcW w:type="dxa" w:w="1560"/>
          </w:tcPr>
          <w:p>
            <w:pPr>
              <w:spacing w:line="240" w:lineRule="auto" w:after="40"/>
            </w:pPr>
            <w:r>
              <w:rPr>
                <w:sz w:val="18"/>
              </w:rPr>
            </w:r>
            <w:r>
              <w:rPr>
                <w:i/>
                <w:sz w:val="18"/>
              </w:rPr>
              <w:t>M. tuberculosis</w:t>
            </w:r>
          </w:p>
        </w:tc>
        <w:tc>
          <w:tcPr>
            <w:tcW w:type="dxa" w:w="1560"/>
          </w:tcPr>
          <w:p>
            <w:pPr>
              <w:spacing w:line="240" w:lineRule="auto" w:after="40"/>
            </w:pPr>
            <w:r>
              <w:rPr>
                <w:sz w:val="18"/>
              </w:rPr>
            </w:r>
            <w:r>
              <w:rPr>
                <w:sz w:val="18"/>
              </w:rPr>
              <w:t>apramycin 1-128 ug/mL (amikacin arm not analysed)</w:t>
            </w:r>
          </w:p>
        </w:tc>
        <w:tc>
          <w:tcPr>
            <w:tcW w:type="dxa" w:w="1560"/>
          </w:tcPr>
          <w:p>
            <w:pPr>
              <w:spacing w:line="240" w:lineRule="auto" w:after="40"/>
            </w:pPr>
            <w:r>
              <w:rPr>
                <w:sz w:val="18"/>
              </w:rPr>
            </w:r>
            <w:r>
              <w:rPr>
                <w:sz w:val="18"/>
              </w:rPr>
              <w:t>5 concentrations x 4 days x 3 replicates</w:t>
            </w:r>
          </w:p>
        </w:tc>
        <w:tc>
          <w:tcPr>
            <w:tcW w:type="dxa" w:w="1560"/>
          </w:tcPr>
          <w:p>
            <w:pPr>
              <w:spacing w:line="240" w:lineRule="auto" w:after="40"/>
            </w:pPr>
            <w:r>
              <w:rPr>
                <w:sz w:val="18"/>
              </w:rPr>
            </w:r>
            <w:r>
              <w:rPr>
                <w:sz w:val="18"/>
              </w:rPr>
              <w:t>figshare 26462791</w:t>
            </w:r>
          </w:p>
        </w:tc>
        <w:tc>
          <w:tcPr>
            <w:tcW w:type="dxa" w:w="1560"/>
          </w:tcPr>
          <w:p>
            <w:pPr>
              <w:spacing w:line="240" w:lineRule="auto" w:after="40"/>
            </w:pPr>
            <w:r>
              <w:rPr>
                <w:sz w:val="18"/>
              </w:rPr>
            </w:r>
            <w:r>
              <w:rPr>
                <w:sz w:val="18"/>
              </w:rPr>
              <w:t>CC BY 4.0</w:t>
            </w:r>
          </w:p>
        </w:tc>
      </w:tr>
      <w:tr>
        <w:tc>
          <w:tcPr>
            <w:tcW w:type="dxa" w:w="1560"/>
          </w:tcPr>
          <w:p>
            <w:pPr>
              <w:spacing w:line="240" w:lineRule="auto" w:after="40"/>
            </w:pPr>
            <w:r>
              <w:rPr>
                <w:sz w:val="18"/>
              </w:rPr>
            </w:r>
            <w:r>
              <w:rPr>
                <w:sz w:val="18"/>
              </w:rPr>
              <w:t>Analysed last, after the derivation was fixed</w:t>
            </w:r>
          </w:p>
        </w:tc>
        <w:tc>
          <w:tcPr>
            <w:tcW w:type="dxa" w:w="1560"/>
          </w:tcPr>
          <w:p>
            <w:pPr>
              <w:spacing w:line="240" w:lineRule="auto" w:after="40"/>
            </w:pPr>
            <w:r>
              <w:rPr>
                <w:sz w:val="18"/>
              </w:rPr>
            </w:r>
            <w:r>
              <w:rPr>
                <w:i/>
                <w:sz w:val="18"/>
              </w:rPr>
              <w:t>E. coli</w:t>
            </w:r>
            <w:r>
              <w:rPr>
                <w:sz w:val="18"/>
              </w:rPr>
              <w:t>, hollow fibre</w:t>
            </w:r>
          </w:p>
        </w:tc>
        <w:tc>
          <w:tcPr>
            <w:tcW w:type="dxa" w:w="1560"/>
          </w:tcPr>
          <w:p>
            <w:pPr>
              <w:spacing w:line="240" w:lineRule="auto" w:after="40"/>
            </w:pPr>
            <w:r>
              <w:rPr>
                <w:sz w:val="18"/>
              </w:rPr>
            </w:r>
            <w:r>
              <w:rPr>
                <w:sz w:val="18"/>
              </w:rPr>
              <w:t>amoxicillin-clavulanate</w:t>
            </w:r>
          </w:p>
        </w:tc>
        <w:tc>
          <w:tcPr>
            <w:tcW w:type="dxa" w:w="1560"/>
          </w:tcPr>
          <w:p>
            <w:pPr>
              <w:spacing w:line="240" w:lineRule="auto" w:after="40"/>
            </w:pPr>
            <w:r>
              <w:rPr>
                <w:sz w:val="18"/>
              </w:rPr>
            </w:r>
            <w:r>
              <w:rPr>
                <w:sz w:val="18"/>
              </w:rPr>
              <w:t>20 cultures, measured day-zero density, 100 uL plated</w:t>
            </w:r>
          </w:p>
        </w:tc>
        <w:tc>
          <w:tcPr>
            <w:tcW w:type="dxa" w:w="1560"/>
          </w:tcPr>
          <w:p>
            <w:pPr>
              <w:spacing w:line="240" w:lineRule="auto" w:after="40"/>
            </w:pPr>
            <w:r>
              <w:rPr>
                <w:sz w:val="18"/>
              </w:rPr>
            </w:r>
            <w:r>
              <w:rPr>
                <w:sz w:val="18"/>
              </w:rPr>
              <w:t>Nat Commun 2026 Source Data</w:t>
            </w:r>
          </w:p>
        </w:tc>
        <w:tc>
          <w:tcPr>
            <w:tcW w:type="dxa" w:w="1560"/>
          </w:tcPr>
          <w:p>
            <w:pPr>
              <w:spacing w:line="240" w:lineRule="auto" w:after="40"/>
            </w:pPr>
            <w:r>
              <w:rPr>
                <w:sz w:val="18"/>
              </w:rPr>
            </w:r>
            <w:r>
              <w:rPr>
                <w:sz w:val="18"/>
              </w:rPr>
              <w:t>CC BY 4.0</w:t>
            </w:r>
          </w:p>
        </w:tc>
      </w:tr>
    </w:tbl>
    <w:p/>
    <w:p>
      <w:r>
        <w:rPr>
          <w:i/>
        </w:rPr>
        <w:t>Note.</w:t>
      </w:r>
      <w:r>
        <w:t xml:space="preserve"> Four carry the analysis and the fifth was analysed last, to test it. None was generated for this study. That fifth deposit was opened after every boundary and threshold was fixed: the headroom tool at 00:08 and the symbolic recovery of both boundary laws at 01:34 on 6 September 2026, against the deposit's arrival at 02:41 the same morning. The deposit entered in the same commit as the script that tests it, which git cannot order internally, so it is where reachability and identifiability were committed that dates the hold-out, not where the deposit arrived. This is an attestation and not a registration: the deposit had been public since its article appeared on 13 June 2026, so nothing outside this repository's own commit history evidences that it was not opened earlier, and a reader should weigh it accordingly. The other four were selected for the fields they carry, and that selection is not separately registered.</w:t>
      </w:r>
    </w:p>
    <w:p>
      <w:pPr>
        <w:spacing w:before="240"/>
      </w:pPr>
      <w:r>
        <w:rPr>
          <w:b/>
          <w:sz w:val="24"/>
        </w:rPr>
        <w:t>References</w:t>
      </w:r>
    </w:p>
    <w:p>
      <w:r>
        <w:t>1. World Health Organization. 2022. WHO consolidated guidelines on tuberculosis. Module 4: treatment — drug-susceptible tuberculosis treatment. World Health Organization, Geneva, Switzerland. https://iris.who.int/handle/10665/353829.</w:t>
      </w:r>
    </w:p>
    <w:p>
      <w:r>
        <w:t>2. Brauner A, Fridman O, Gefen O, Balaban NQ. 2016. Distinguishing between resistance, tolerance and persistence to antibiotic treatment. Nat Rev Microbiol 14:320-330. https://doi.org/10.1038/nrmicro.2016.34.</w:t>
      </w:r>
    </w:p>
    <w:p>
      <w:r>
        <w:t>3. Brauner A, Shoresh N, Fridman O, Balaban NQ. 2017. An experimental framework for quantifying bacterial tolerance. Biophys J 112:2664-2671. https://doi.org/10.1016/j.bpj.2017.05.014.</w:t>
      </w:r>
    </w:p>
    <w:p>
      <w:r>
        <w:t>4. Balaban NQ, Helaine S, Lewis K, Ackermann M, Aldridge B, Andersson DI, Brynildsen MP, Bumann D, Camilli A, Collins JJ, Dehio C, Fortune S, Ghigo J-M, Hardt W-D, Harms A, Heinemann M, Hung DT, Jenal U, Levin BR, Michiels J, Storz G, Tan M-W, Tenson T, Van Melderen L, Zinkernagel A. 2019. Definitions and guidelines for research on antibiotic persistence. Nat Rev Microbiol 17:441-448. https://doi.org/10.1038/s41579-019-0196-3.</w:t>
      </w:r>
    </w:p>
    <w:p>
      <w:r>
        <w:t>5. Cochran WG. 1950. Estimation of bacterial densities by means of the "most probable number". Biometrics 6:105. https://doi.org/10.2307/3001491.</w:t>
      </w:r>
    </w:p>
    <w:p>
      <w:r>
        <w:t>6. Blodgett R. 2023. BAM appendix 2: most probable number from serial dilutions. Bacteriological analytical manual. US Food and Drug Administration, Silver Spring, MD. https://www.fda.gov/food/laboratory-methods-food/bam-appendix-2-most-probable-number-serial-dilutions.</w:t>
      </w:r>
    </w:p>
    <w:p>
      <w:r>
        <w:t>7. Mann HB, Whitney DR. 1947. On a test of whether one of two random variables is stochastically larger than the other. Ann Math Stat 18:50-60. https://doi.org/10.1214/aoms/1177730491.</w:t>
      </w:r>
    </w:p>
    <w:p>
      <w:r>
        <w:t xml:space="preserve">8. van Wijk RC, Lucía A, Sudhakar PK, Sonnenkalb L, Gaudin C, Hoffmann E, Dremierre B, Aguilar-Ayala DA, Dal Molin M, Rybniker J, de Giorgi S, Cioetto-Mazzabò L, Segafreddo G, Manganelli R, Degiacomi G, Recchia D, Pasca MR, Simonsson USH, Ramón-García S. 2023. Implementing best practices on data generation and reporting of </w:t>
      </w:r>
      <w:r>
        <w:rPr>
          <w:i/>
        </w:rPr>
        <w:t>Mycobacterium tuberculosis</w:t>
      </w:r>
      <w:r>
        <w:t xml:space="preserve"> in vitro assays within the ERA4TB consortium. iScience 26:106411. https://doi.org/10.1016/j.isci.2023.106411.</w:t>
      </w:r>
    </w:p>
    <w:p>
      <w:r>
        <w:t xml:space="preserve">9. van Wijk RC, Lucía Quintana A, Ramón-García S. 2023. </w:t>
      </w:r>
      <w:r>
        <w:rPr>
          <w:i/>
        </w:rPr>
        <w:t>Mycobacterium tuberculosis</w:t>
      </w:r>
      <w:r>
        <w:t xml:space="preserve"> time kill assay data of the standardized protocol within the ERA4TB consortium. figshare. https://doi.org/10.6084/m9.figshare.19766083.v1.</w:t>
      </w:r>
    </w:p>
    <w:p>
      <w:r>
        <w:t xml:space="preserve">10. Dubey V, Darlow C, Gerada A, Unsworth J, Sheth E, Reza N, Farrington N, Haldenby S, Warren D, Liu X, Howard A, Hope W. 2026. Molecular pharmacodynamics of amoxicillin-clavulanic acid for urinary tract infections caused by </w:t>
      </w:r>
      <w:r>
        <w:rPr>
          <w:i/>
        </w:rPr>
        <w:t>Escherichia coli</w:t>
      </w:r>
      <w:r>
        <w:t>. Nat Commun 17:7504. https://doi.org/10.1038/s41467-026-74323-2.</w:t>
      </w:r>
    </w:p>
    <w:p>
      <w:r>
        <w:t xml:space="preserve">11. Dubey V, Darlow C, Gerada A, Unsworth J, Sheth E, Reza N, Farrington N, Haldenby S, Warren D, Liu X, Howard A, Hope W. 2026. Source Data to "Molecular pharmacodynamics of amoxicillin-clavulanic acid for urinary tract infections caused by </w:t>
      </w:r>
      <w:r>
        <w:rPr>
          <w:i/>
        </w:rPr>
        <w:t>Escherichia coli</w:t>
      </w:r>
      <w:r>
        <w:t>" (41467_2026_74323_MOESM4_ESM.xlsx). Nature Communications. https://doi.org/10.1038/s41467-026-74323-2.</w:t>
      </w:r>
    </w:p>
    <w:p>
      <w:r>
        <w:t>12. Evangelopoulos D, Prosser G, Rodgers A, Dagg B, Khatri B, Bhagwat A, Gonzalo X, Kolyva A, Bertozzi G, Silva-Pereira TT, Gibbons N, Bhatt A, Sabharwal N, Perdigao J, Portugal I, Rodrigues C, Duarte R, Gomes M, Cirillo DM, McHugh TD. 2022. Data from: Comparative evaluation of viable count, molecular bacterial load and most probable number for the enumeration of Mycobacterium tuberculosis in murine tissue. University College London Research Data Repository. https://doi.org/10.5522/04/19175153.v2. Retrieved 2026-09-07.</w:t>
      </w:r>
    </w:p>
    <w:p>
      <w:r>
        <w:t>13. Mukamolova GV, Turapov O, Malkin J, Woltmann G, Barer MR. 2010. Resuscitation-promoting factors reveal an occult population of tubercle bacilli in sputum. Am J Respir Crit Care Med 181:174-180. https://doi.org/10.1164/rccm.200905-0661OC.</w:t>
      </w:r>
    </w:p>
    <w:p>
      <w:r>
        <w:t>14. Chengalroyen MD, Beukes GM, Gordhan BG, Streicher EM, Churchyard G, Hafner R, Warren R, Otwombe K, Martinson N, Kana BD. 2016. Detection and quantification of differentially culturable tubercle bacteria in sputum from patients with tuberculosis. Am J Respir Crit Care Med 194:1532-1540. https://doi.org/10.1164/rccm.201604-0769OC.</w:t>
      </w:r>
    </w:p>
    <w:p>
      <w:r>
        <w:t>15. Saito K, Warrier T, Somersan-Karakaya S, Kaminski L, Mi J, Jiang X, Park S, Shigyo K, Gold B, Roberts J, Weber E, Jacobs WR Jr, Nathan CF. 2017. Rifamycin action on RNA polymerase in antibiotic-tolerant Mycobacterium tuberculosis results in differentially detectable populations. Proc Natl Acad Sci U S A 114:E4832-E4840. https://doi.org/10.1073/pnas.1705385114.</w:t>
      </w:r>
    </w:p>
    <w:p>
      <w:r>
        <w:t>16. National Committee for Clinical Laboratory Standards. 1999. Methods for determining bactericidal activity of antimicrobial agents; approved guideline. NCCLS document M26-A. National Committee for Clinical Laboratory Standards, Wayne, PA. ISBN 1-56238-384-1.</w:t>
      </w:r>
    </w:p>
    <w:p>
      <w:r>
        <w:t>17. Vilchèze C, Jacobs WR Jr. 2007. The mechanism of isoniazid killing: clarity through the scope of genetics. Annu Rev Microbiol 61:35-50. https://doi.org/10.1146/annurev.micro.61.111606.122346.</w:t>
      </w:r>
    </w:p>
    <w:p>
      <w:r>
        <w:t>18. Campbell EA, Korzheva N, Mustaev A, Murakami K, Nair S, Goldfarb A, Darst SA. 2001. Structural mechanism for rifampicin inhibition of bacterial RNA polymerase. Cell 104:901-912. https://doi.org/10.1016/S0092-8674(01)00286-0.</w:t>
      </w:r>
    </w:p>
    <w:p>
      <w:r>
        <w:t xml:space="preserve">19. March VFA, Mchedlishvili K, Goig GA, Maghradze N, Avaliani T, Aspindzelashvili R, Avaliani Z, Kipiani M, Tukvadze N, Jugheli L, Bouaouina S, Doetsch A, Kalkan S, Reinhardt M, Gagneux S, Borrell S. 2025. Within-host evolution of drug tolerance in </w:t>
      </w:r>
      <w:r>
        <w:rPr>
          <w:i/>
        </w:rPr>
        <w:t>Mycobacterium tuberculosis</w:t>
      </w:r>
      <w:r>
        <w:t>. bioRxiv 2025.07.29.667394; preprint, not peer reviewed. https://doi.org/10.1101/2025.07.29.667394.</w:t>
      </w:r>
    </w:p>
    <w:p>
      <w:r>
        <w:t>20. ASTM International. 2023. E2315-23: Standard Guide for Assessment of Antimicrobial Activity Using a Time-Kill Procedure. ASTM International, West Conshohocken, PA. https://doi.org/10.1520/E2315-23.</w:t>
      </w:r>
    </w:p>
    <w:p>
      <w:r>
        <w:t xml:space="preserve">21. Vijay S, Bao NLH, Vinh DN, Nhat LTH, Thu DDA, Quang NL, Trieu LPT, Nhung HN, Ha VTN, Thai PVK, Ha DTM, Lan NH, Caws M, Thwaites GE, Javid B, Thuong NT. 2024. Supplementary file 2 to "Rifampicin tolerance and growth fitness among isoniazid-resistant clinical </w:t>
      </w:r>
      <w:r>
        <w:rPr>
          <w:i/>
        </w:rPr>
        <w:t>Mycobacterium tuberculosis</w:t>
      </w:r>
      <w:r>
        <w:t xml:space="preserve"> isolates from a longitudinal study" (elife-93243-supp2-v1.xlsx). eLife. https://doi.org/10.7554/eLife.93243.</w:t>
      </w:r>
    </w:p>
    <w:p>
      <w:r>
        <w:t xml:space="preserve">22. Rabodoarivelo MS, Hoffmann E, Gaudin C, Aguilar-Ayala DA, Galizia J, Sonnenkalb L, Dal Molin M, Cioetto-Mazzabò L, Degiacomi G, Recchia D, Rybniker J, Manganelli R, Pasca MR, Ramón-García S, Lucía A. 2025. Protocol to quantify bacterial burden in time-kill assays using colony-forming units and most probable number readouts for </w:t>
      </w:r>
      <w:r>
        <w:rPr>
          <w:i/>
        </w:rPr>
        <w:t>Mycobacterium tuberculosis</w:t>
      </w:r>
      <w:r>
        <w:t>. STAR Protoc 6:103643. https://doi.org/10.1016/j.xpro.2025.103643.</w:t>
      </w:r>
    </w:p>
    <w:p>
      <w:r>
        <w:t>23. Windels EM, Cool L, Persy E, Swinnen J, Matthay P, Van den Bergh B, Wenseleers T, Michiels J. 2024. Antibiotic dose and nutrient availability differentially drive the evolution of antibiotic resistance and persistence. ISME J 18:wrae070. https://doi.org/10.1093/ismejo/wrae070.</w:t>
      </w:r>
    </w:p>
    <w:p>
      <w:r>
        <w:t>24. Windels EM, Cool L, Persy E, Swinnen J, Matthay P, Van den Bergh B, Wenseleers T, Michiels J. 2024. Data supporting "Antibiotic dose and nutrient availability differentially drive the evolution of antibiotic resistance and persistence". Zenodo. https://doi.org/10.5281/zenodo.7550302.</w:t>
      </w:r>
    </w:p>
    <w:p>
      <w:r>
        <w:t xml:space="preserve">25. Kaur P, Ramya VK, Naveenkumar CN, Bharathkumar K, Singh M, Hobbie SN, Shandil RK, Narayanan S. 2024. Apramycin kills replicating and non-replicating </w:t>
      </w:r>
      <w:r>
        <w:rPr>
          <w:i/>
        </w:rPr>
        <w:t>Mycobacterium tuberculosis</w:t>
      </w:r>
      <w:r>
        <w:t>. Front Trop Dis 5:1413211. https://doi.org/10.3389/fitd.2024.1413211.</w:t>
      </w:r>
    </w:p>
    <w:p>
      <w:r>
        <w:t xml:space="preserve">26. Kaur P. 2024. Apramycin kills replicating and non-replicating </w:t>
      </w:r>
      <w:r>
        <w:rPr>
          <w:i/>
        </w:rPr>
        <w:t>Mycobacterium tuberculosis</w:t>
      </w:r>
      <w:r>
        <w:t xml:space="preserve"> — raw data. figshare. https://doi.org/10.6084/m9.figshare.26462791.v1.</w:t>
      </w:r>
    </w:p>
    <w:p>
      <w:r>
        <w:t>27. Clinical and Laboratory Standards Institute. 2024. Methods for dilution antimicrobial susceptibility tests for bacteria that grow aerobically, 12th ed. CLSI standard M07. Clinical and Laboratory Standards Institute, Wayne, PA.</w:t>
      </w:r>
    </w:p>
    <w:p>
      <w:r>
        <w:t>28. Clinical and Laboratory Standards Institute. 2026. Performance standards for antimicrobial susceptibility testing, 36th ed. CLSI supplement M100. Clinical and Laboratory Standards Institute, Wayne, PA.</w:t>
      </w:r>
    </w:p>
    <w:p>
      <w:r>
        <w:t>29. Tobin J. 1958. Estimation of relationships for limited dependent variables. Econometrica 26:24. https://doi.org/10.2307/1907382.</w:t>
      </w:r>
    </w:p>
    <w:p>
      <w:r>
        <w:t>30. Beal SL. 2001. Ways to fit a PK model with some data below the quantification limit. J Pharmacokinet Pharmacodyn 28:481-504. https://doi.org/10.1023/A:1012299115260.</w:t>
      </w:r>
    </w:p>
    <w:p>
      <w:r>
        <w:t>31. Rubin DB. 1987. Multiple imputation for nonresponse in surveys. John Wiley &amp; Sons, New York, NY. https://doi.org/10.1002/9780470316696.</w:t>
      </w:r>
    </w:p>
    <w:p>
      <w:r>
        <w:t>32. McCullagh P. 1980. Regression models for ordinal data. J R Stat Soc Series B Stat Methodol 42:109-127. https://doi.org/10.1111/j.2517-6161.1980.tb01109.x.</w:t>
      </w:r>
    </w:p>
    <w:p>
      <w:r>
        <w:t>33. Brant R. 1990. Assessing proportionality in the proportional odds model for ordinal logistic regression. Biometrics 46:1171-1178.</w:t>
      </w:r>
    </w:p>
    <w:p>
      <w:r>
        <w:t>34. Peterson B, Harrell FE Jr. 1990. Partial proportional odds models for ordinal response variables. J R Stat Soc Ser C Appl Stat 39:205. https://doi.org/10.2307/2347760.</w:t>
      </w:r>
    </w:p>
    <w:p>
      <w:r>
        <w:t>35. Turnbull BW. 1976. The empirical distribution function with arbitrarily grouped, censored and truncated data. J R Stat Soc Series B Stat Methodol 38:290-295. https://doi.org/10.1111/j.2517-6161.1976.tb01597.x.</w:t>
      </w:r>
    </w:p>
    <w:p>
      <w:r>
        <w:t>36. Kaplan EL, Meier P. 1958. Nonparametric estimation from incomplete observations. J Am Stat Assoc 53:457-481. https://doi.org/10.1080/01621459.1958.10501452.</w:t>
      </w:r>
    </w:p>
    <w:p>
      <w:r>
        <w:t>37. Cox DR. 1972. Regression models and life-tables. J R Stat Soc Series B Stat Methodol 34:187-202. https://doi.org/10.1111/j.2517-6161.1972.tb00899.x.</w:t>
      </w:r>
    </w:p>
    <w:p>
      <w:r>
        <w:t>38. Field CA, Welsh AH. 2007. Bootstrapping clustered data. J R Stat Soc Series B Stat Methodol 69:369-390. https://doi.org/10.1111/j.1467-9868.2007.00593.x.</w:t>
      </w:r>
    </w:p>
    <w:p>
      <w:r>
        <w:t>39. Schoenfeld D. 1982. Partial residuals for the proportional hazards regression model. Biometrika 69:239-241. https://doi.org/10.1093/biomet/69.1.239.</w:t>
      </w:r>
    </w:p>
    <w:p>
      <w:r>
        <w:t>40. Grambsch PM, Therneau TM. 1994. Proportional hazards tests and diagnostics based on weighted residuals. Biometrika 81:515-526. https://doi.org/10.1093/biomet/81.3.515.</w:t>
      </w:r>
    </w:p>
    <w:p>
      <w:r>
        <w:t>41. Efron B. 1979. Bootstrap methods: another look at the jackknife. Ann Stat 7:1-26. https://doi.org/10.1214/aos/1176344552.</w:t>
      </w:r>
    </w:p>
    <w:p>
      <w:r>
        <w:t>42. Brown LD, Cai TT, DasGupta A. 2001. Interval estimation for a binomial proportion. Stat Sci 16:101-133. https://doi.org/10.1214/ss/1009213286.</w:t>
      </w:r>
    </w:p>
    <w:p>
      <w:r>
        <w:t>43. Imai K, Keele L, Yamamoto T. 2010. Identification, inference and sensitivity analysis for causal mediation effects. Stat Sci 25:51-71. https://doi.org/10.1214/10-STS321.</w:t>
      </w:r>
    </w:p>
    <w:p>
      <w:r>
        <w:t>44. Baron RM, Kenny DA. 1986. The moderator-mediator variable distinction in social psychological research: conceptual, strategic, and statistical considerations. J Pers Soc Psychol 51:1173-1182. https://doi.org/10.1037/0022-3514.51.6.1173.</w:t>
      </w:r>
    </w:p>
    <w:p>
      <w:r>
        <w:t>45. Benjamini Y, Hochberg Y. 1995. Controlling the false discovery rate: a practical and powerful approach to multiple testing. J R Stat Soc Series B Stat Methodol 57:289-300. https://doi.org/10.1111/j.2517-6161.1995.tb02031.x.</w:t>
      </w:r>
    </w:p>
    <w:p>
      <w:r>
        <w:t>46. Harris CR, Millman KJ, van der Walt SJ, Gommers R, Virtanen P, Cournapeau D, Wieser E, Taylor J, Berg S, Smith NJ, Kern R, Picus M, Hoyer S, van Kerkwijk MH, Brett M, Haldane A, del Río JF, Wiebe M, Peterson P, Gérard-Marchant P, Sheppard K, Reddy T, Weckesser W, Abbasi H, Gohlke C, Oliphant TE. 2020. Array programming with NumPy. Nature 585:357-362. https://doi.org/10.1038/s41586-020-2649-2.</w:t>
      </w:r>
    </w:p>
    <w:p>
      <w:r>
        <w:t>47. Virtanen P, Gommers R, Oliphant TE, Haberland M, Reddy T, Cournapeau D, Burovski E, Peterson P, Weckesser W, Bright J, van der Walt SJ, Brett M, Wilson J, Millman KJ, Mayorov N, Nelson ARJ, Jones E, Kern R, Larson E, Carey CJ, Polat İ, Feng Y, Moore EW, VanderPlas J, Laxalde D, Perktold J, Cimrman R, Henriksen I, Quintero EA, Harris CR, Archibald AM, Ribeiro AH, Pedregosa F, van Mulbregt P, SciPy 1.0 Contributors. 2020. SciPy 1.0: fundamental algorithms for scientific computing in Python. Nat Methods 17:261-272. https://doi.org/10.1038/s41592-019-0686-2.</w:t>
      </w:r>
    </w:p>
    <w:p>
      <w:r>
        <w:t>48. McKinney W. 2010. Data structures for statistical computing in Python. Proceedings of the 9th Python in Science Conference 56-61. https://doi.org/10.25080/Majora-92bf1922-00a.</w:t>
      </w:r>
    </w:p>
    <w:p>
      <w:r>
        <w:t>49. Seabold S, Perktold J. 2010. Statsmodels: econometric and statistical modeling with Python. Proceedings of the 9th Python in Science Conference 92-96. https://doi.org/10.25080/Majora-92bf1922-011.</w:t>
      </w:r>
    </w:p>
    <w:p>
      <w:r>
        <w:t>50. Davidson-Pilon C. 2019. lifelines: survival analysis in Python. J Open Source Softw 4:1317. https://doi.org/10.21105/joss.01317.</w:t>
      </w:r>
    </w:p>
    <w:p>
      <w:r>
        <w:t xml:space="preserve">51. Vijay S, Bao NLH, Vinh DN, Nhat LTH, Thu DDA, Quang NL, Trieu LPT, Nhung HN, Ha VTN, Thai PVK, Ha DTM, Lan NH, Caws M, Thwaites GE, Javid B, Thuong NT. 2024. Rifampicin tolerance and growth fitness among isoniazid-resistant clinical </w:t>
      </w:r>
      <w:r>
        <w:rPr>
          <w:i/>
        </w:rPr>
        <w:t>Mycobacterium tuberculosis</w:t>
      </w:r>
      <w:r>
        <w:t xml:space="preserve"> isolates from a longitudinal study. Elife 13:RP93243. https://doi.org/10.7554/eLife.93243.</w:t>
      </w:r>
    </w:p>
    <w:p>
      <w:r>
        <w:t>52. Piranfar V. 2026. Analysis code, audit scripts and headroom tool for "The detection floor bounds tolerance endpoints in Mycobacterium tuberculosis". GitHub. https://github.com/piranfar/detection-floor-tolerance-endpoints.</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