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 xml:space="preserve">An empty plate from a </w:t>
      </w:r>
      <w:r>
        <w:rPr>
          <w:i/>
        </w:rPr>
        <w:t>Mycobacterium tuberculosis</w:t>
      </w:r>
      <w:r>
        <w:t xml:space="preserve"> culture exposed to a bactericidal antibiotic has never proved sterility. Tolerance is scored instead by how far the count fell: the minimum duration for killing (MDK), a fraction meant to cancel the starting count out. That cancellation fails once killing reaches the assay's lowest reportable density, because the recorded fraction is then the floor over starting density.</w:t>
      </w:r>
    </w:p>
    <w:p>
      <w:r>
        <w:t xml:space="preserve">Two boundaries follow from the definitions alone. For an assay floor </w:t>
      </w:r>
      <w:r>
        <w:rPr>
          <w:i/>
        </w:rPr>
        <w:t>L</w:t>
      </w:r>
      <w:r>
        <w:t xml:space="preserve">, a </w:t>
      </w:r>
      <w:r>
        <w:rPr>
          <w:i/>
        </w:rPr>
        <w:t>q</w:t>
      </w:r>
      <w:r>
        <w:t xml:space="preserve">-log endpoint is observable only above </w:t>
      </w:r>
      <w:r>
        <w:rPr>
          <w:i/>
        </w:rPr>
        <w:t>L</w:t>
      </w:r>
      <w:r>
        <w:t>·10^</w:t>
      </w:r>
      <w:r>
        <w:rPr>
          <w:i/>
        </w:rPr>
        <w:t>q</w:t>
      </w:r>
      <w:r>
        <w:t xml:space="preserve">, the reachability boundary. Above </w:t>
      </w:r>
      <w:r>
        <w:rPr>
          <w:i/>
        </w:rPr>
        <w:t>L</w:t>
      </w:r>
      <w:r>
        <w:t>/</w:t>
      </w:r>
      <w:r>
        <w:rPr>
          <w:i/>
        </w:rPr>
        <w:t>c</w:t>
      </w:r>
      <w:r>
        <w:t xml:space="preserve">₁, with </w:t>
      </w:r>
      <w:r>
        <w:rPr>
          <w:i/>
        </w:rPr>
        <w:t>c</w:t>
      </w:r>
      <w:r>
        <w:t>₁ the lowest class threshold, a floor-level reading is compatible only with the lowest tolerance class, whatever the drug did: the identifiability boundary.</w:t>
      </w:r>
    </w:p>
    <w:p>
      <w:r>
        <w:t xml:space="preserve">Of 78 time-kill datasets assembled and 45 inspected in full, 32 of 40 distinct deposits state no assay floor. Of 217 </w:t>
      </w:r>
      <w:r>
        <w:rPr>
          <w:i/>
        </w:rPr>
        <w:t>M. tuberculosis</w:t>
      </w:r>
      <w:r>
        <w:t xml:space="preserve"> isolates classified for rifampicin tolerance, 33 lacked headroom for the 99.99 per cent reduction the classification is cut on, and none reached it. Eighteen ended on the floor: twelve admit one class, six admit two. The label tracks growth rate and, via a ten-fold lower starting density, isoniazid resistance.</w:t>
      </w:r>
    </w:p>
    <w:p>
      <w:r>
        <w:t xml:space="preserve">A prospective experiment in </w:t>
      </w:r>
      <w:r>
        <w:rPr>
          <w:i/>
        </w:rPr>
        <w:t>Escherichia coli</w:t>
      </w:r>
      <w:r>
        <w:t xml:space="preserve"> ATCC 25922 confirmed both boundaries outside </w:t>
      </w:r>
      <w:r>
        <w:rPr>
          <w:i/>
        </w:rPr>
        <w:t>M. tuberculosis</w:t>
      </w:r>
      <w:r>
        <w:t>: 3.71 to 3.93 logs at 10 µL versus 4.88 to 5.05 at 100 µL from the same cultures; at a 10⁻³ cut, six of 54 sample-times took two labels from one culture, plated volume deciding.</w:t>
      </w:r>
    </w:p>
    <w:p>
      <w:r>
        <w:t>A tolerance call reported without its starting density and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between 21 August and 8 September 2026, of which 45 were inspected one record at a time, each inspected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two were identified as duplicate records and never fetched, and 31 were never opened — 19 have no ingest reader written and 12 are annotated as not established. That leaves 45 with a coverage row. Four of those 45 are duplicate fetches of records already counted, and one is this paper's own prospective experiment, which is not a screened literature deposit. </w:t>
      </w:r>
      <w:r>
        <w:rPr>
          <w:b/>
        </w:rPr>
        <w:t>Of the 40 distinct literature deposits that remain, 32 state no assay floor by any route</w:t>
      </w:r>
      <w:r>
        <w:t xml:space="preserve"> — no limit of detection, no limit of quantification, and no plated volume from which one could be derived. Eighteen deposits carry enough for reachability and identifiability to be computed at all, 17 of them published and the eighteenth this paper's own experiment; five carry the complete set of fields the analysis needs, and those five are the deposits of Table 3. The whole flow is Table S1 and Figure S4, and every count here reads off it.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r>
        <w:t>Nor is it a prevalence estimate. Thirty-three of the 78 were never opened, and deposits were not chosen for inspection at random, so the 32 of 40 above cannot be extrapolated to them. Whether the unopened records state a floor more often or less often than the inspected ones is not knowable from this corpus, and the proportion could move either way.</w:t>
      </w:r>
    </w:p>
    <w:p>
      <w:pPr>
        <w:spacing w:before="240"/>
      </w:pPr>
      <w:r>
        <w:rPr>
          <w:b/>
          <w:sz w:val="22"/>
        </w:rPr>
        <w:t>The five deposits analysed</w:t>
      </w:r>
    </w:p>
    <w:p>
      <w:r>
        <w:t>Five published deposits are analysed (Table 3). Four carry the analysis and the fifth was analysed last, to test it. All are openly licensed. That fifth deposit was opened only after every boundary and threshold was fixed. The commit history dates that, though not where a reader would first look: the deposit and the script that tests it entered in a single commit, at 02:41 on 6 September 2026, and git cannot order two files within one commit. What dates the hold-out is where reachability and identifiability were themselves committed - the headroom tool at 00:08 and the symbolic recovery of both laws at 01:34 that morning, sixty-seven minutes before the deposit arrived - and a search of the history for later changes to those expressions returns nothing. The other four deposits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(21).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(12, 13).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(22).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(23, 24). Six of its 595 surviving fractions are written as exact zeros, marking a below-limit reading without naming a limit; they fix no floor, so this deposit is one of the two for which observability labels are refused.</w:t>
      </w:r>
    </w:p>
    <w:p>
      <w:r>
        <w:rPr>
          <w:b/>
        </w:rPr>
        <w:t>A deposit analysed last, after the boundaries were fixed.</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(14, 15).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7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checking where reachability and identifiability were committed rather than where the deposit arrived, for the reason given above. The deposit had been public since the article describing it appeared on 13 June 2026, three months before it was opened here, so nothing outside this repository's own history evidences that it was not consulted sooner. That is an attestation, not a pre-registration, and it is weaker evidence than a frozen analysis plan deposited before the fact would have been. It does appear descriptively — a row of its own in Tables 2, 5, 9, 15, S5 and S7, and a table of its own in Table S9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(25, 26). The amikacin arms are not analysed here. Within apramycin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(16, 27).</w:t>
      </w:r>
    </w:p>
    <w:p>
      <w:r>
        <w:rPr>
          <w:b/>
        </w:rPr>
        <w:t>Minimum inhibitory concentration.</w:t>
      </w:r>
      <w:r>
        <w:t xml:space="preserve"> The ciprofloxacin MIC of the strain was determined by CLSI reference broth microdilution (27, 28):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(28),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Drug carryover, and what was not done about it.</w:t>
      </w:r>
      <w:r>
        <w:t xml:space="preserve"> No washing, filtration, enzymatic inactivation or activated-charcoal step was used, and no carryover control was run. The only thing standing between the drug in the sample and the colonies on the plate is dilution, and at the shallow dilutions — neat and 10⁻¹ — that is the whole of it. This matters here more than it would in most time-kill work, because the shallow dilutions are exactly the ones in use once a culture approaches its floor, which is the regime the whole paper is about. Ciprofloxacin carried onto an agar plate at 0.08 mg/L is diluted by more than the ten-fold it would take to bring it below this strain's measured MIC of 0.008 mg/L, since 100 µL is spread into far more than 1 mL of agar; but sub-inhibitory carryover can still suppress colony formation, and nothing here rules that out. What can be said is the direction. The 100 µL plating carries ten times as much drug onto the plate as the 10 µL plating of the same sample, so any carryover effect works against the depth advantage the 100 µL plating is reported to have, and the paired comparison in Section 8 is conservative with respect to it. A carryover control belongs in any repetition of this experiment.</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S13).</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(5, 6),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S14).</w:t>
      </w:r>
    </w:p>
    <w:p>
      <w:r>
        <w:t xml:space="preserve">One further property of </w:t>
      </w:r>
      <w:r>
        <w:rPr>
          <w:i/>
        </w:rPr>
        <w:t>L</w:t>
      </w:r>
      <w:r>
        <w:t xml:space="preserve"> decides how a floor reading is analysed, and the two cases are not interchangeable. A volume-derived plate floor bounds the true count from above: a blank plate means fewer than one colony in the volume plated, so the true count lies in [0, </w:t>
      </w:r>
      <w:r>
        <w:rPr>
          <w:i/>
        </w:rPr>
        <w:t>L</w:t>
      </w:r>
      <w:r>
        <w:t>]. An MPN rung does not. A reading of 23 per mL is the maximum-likelihood estimate of one well pattern — all wells positive at the first dilution, nothing beyond — and the likelihood around it extends well above the rung: the 95 per cent profile interval is 3 to 120 per mL under the deposit's own design (duplicate wells, a 100 µL first well, ten-fold dilutions; 5 to 91 under the triplicate protocol). Treating [0, 23] as the support of the true count is therefore wrong for this deposit, and the identifiability verdicts of Sections 2 and 3 were recomputed under the assay's own likelihood instead of the plate sweep (Table S15). Every day-5 verdict is unchanged: 12 of 18 floored isolates admit one class and six admit two in the 15-day panel, and six of six admit one in the 60-day panel, identically under the literal-pattern interval and the censoring bound at both 95 and 99 per cent. The verdicts are robust for a structural reason: the floored isolates' starting densities sit far from the shifted threshold, and even the widest 99 per cent bound, 209 per mL, falls short of the 230 per mL that would move any of the twelve. At day 2, where the floor is 230, the same sensitivity moves one isolate of eighteen from one compatible class to two.</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S16).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r>
        <w:t xml:space="preserve">The same likelihood turns the classification itself into an inference with a refusal rule. Given a floor reading, the posterior over the true count maps through the isolate's starting density to a posterior over class, and an isolate is refused when no class reaches 95 per cent (Table S12). In the 15-day panel the twelve isolates recorded as Low are confirmed with P(Low) ≥ 0.999, and the six recorded as Medium are refused: their posterior splits across the threshold the deposit drew at exactly </w:t>
      </w:r>
      <w:r>
        <w:rPr>
          <w:i/>
        </w:rPr>
        <w:t>L</w:t>
      </w:r>
      <w:r>
        <w:t>/</w:t>
      </w:r>
      <w:r>
        <w:rPr>
          <w:i/>
        </w:rPr>
        <w:t>N</w:t>
      </w:r>
      <w:r>
        <w:t>₀ = 10⁻³ (P(Low) 0.53, P(Medium) 0.47 under the primary analysis). The refusal is robust: across both well designs, both readings of the floor value and two priors — eight analyses in all — no Medium label is ever confirmed and no Low label ever fails, and under the most conservative analysis the six are assigned to Low rather than merely refused. The labels the arithmetic could not choose carry no defensible information; the labels it could are confirmed outright.</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(29, 30),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5.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S6).</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S2).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S17).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(31). An observed reading contributes the usual Gaussian density; a censored reading contributes log Φ((limit − µ)/σ), the probability that it fell below its own limit. This is Beal's M3 (Beal 2001) written for this assay (32). The choice is not new to tuberculosis: censoring bactericidal-activity CFU series below their detection limit, rather than dropping or zeroing them, has been applied to early bactericidal activity trial data before, and reported to undercover the true killing rate relative to a model that treats zero counts as their own outcome rather than as bounded-below continuous ones (33, 34). That finding is about the slope fitted across an entire trial arm; what this paper adds is the classification consequence of the same censoring at the single terminal reading a tolerance call is cut on. Intervals come from the profile likelihood.</w:t>
      </w:r>
    </w:p>
    <w:p>
      <w:r>
        <w:rPr>
          <w:b/>
        </w:rPr>
        <w:t>Multiple imputation</w:t>
      </w:r>
      <w:r>
        <w:t xml:space="preserve"> draws each censored reading from the fitted normal truncated at its own limit, refits by ordinary least squares, and pools 50 fits by Rubin's rules (35).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(36),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(37) and by a likelihood-ratio test against a generalised ordered logit (38)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S18).</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(39) are therefore reported alongside the naive treatment that pins the event to the visit at which the blank plate was noticed. Kaplan–Meier (40) and Cox proportional hazards (41) are retained as </w:t>
      </w:r>
      <w:r>
        <w:rPr>
          <w:b/>
        </w:rPr>
        <w:t>descriptive</w:t>
      </w:r>
      <w:r>
        <w:t xml:space="preserve"> summaries of first crossing only; their intervals are replaced by cluster bootstraps over laboratories and over flasks (42), because those 261 series come from 72 flasks in 6 laboratories and the partial likelihood treats them as independent. No p-value is quoted for a term that is constant within laboratory, since six clusters cannot support one. Proportionality is tested on Schoenfeld residuals (43, 44).</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(45)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Text S3 and drawn in Figure S3C. The least-squares fit is kept in the table for comparison and is labelled there: it has two residual degrees of freedom and discards the replicate scatter entirely. An interval on a proportion — an inversion rate, or a share of flasks — is the Jeffreys interval (46),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(47)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(48), scipy 1.18.0 (49), pandas 3.0.3 (50), statsmodels 0.15.0 (51) and lifelines 0.30.3 (52).</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(21, 53),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(54),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090b520+ of it — the state of the repository the text describes, rather than the commit that records the build. A trailing plus sign, if present, marks a build made with uncommitted changes in the tree.</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Imai K, Keele L, Yamamoto T. 2010. Identification, inference and sensitivity analysis for causal mediation effects. Stat Sci 25:51-71. https://doi.org/10.1214/10-STS321.</w:t>
      </w:r>
    </w:p>
    <w:p>
      <w:r>
        <w:t>30. Baron RM, Kenny DA. 1986. The moderator-mediator variable distinction in social psychological research: conceptual, strategic, and statistical considerations. J Pers Soc Psychol 51:1173-1182. https://doi.org/10.1037/0022-3514.51.6.1173.</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Burger DA, Schall R. 2015. A Bayesian nonlinear mixed-effects regression model for the characterization of early bactericidal activity of tuberculosis drugs. J Biopharm Stat 25:1247-1271. https://doi.org/10.1080/10543406.2014.971170.</w:t>
      </w:r>
    </w:p>
    <w:p>
      <w:r>
        <w:t>34. Burger DA, Schall R. 2018. Robust fit of Bayesian mixed effects regression models with application to colony forming unit count in tuberculosis research. Stat Med 37:544-556. https://doi.org/10.1002/sim.7529.</w:t>
      </w:r>
    </w:p>
    <w:p>
      <w:r>
        <w:t>35. Rubin DB. 1987. Multiple imputation for nonresponse in surveys. John Wiley &amp; Sons, New York, NY. https://doi.org/10.1002/9780470316696.</w:t>
      </w:r>
    </w:p>
    <w:p>
      <w:r>
        <w:t>36. McCullagh P. 1980. Regression models for ordinal data. J R Stat Soc Series B Stat Methodol 42:109-127. https://doi.org/10.1111/j.2517-6161.1980.tb01109.x.</w:t>
      </w:r>
    </w:p>
    <w:p>
      <w:r>
        <w:t>37. Brant R. 1990. Assessing proportionality in the proportional odds model for ordinal logistic regression. Biometrics 46:1171-1178.</w:t>
      </w:r>
    </w:p>
    <w:p>
      <w:r>
        <w:t>38. Peterson B, Harrell FE Jr. 1990. Partial proportional odds models for ordinal response variables. J R Stat Soc Ser C Appl Stat 39:205. https://doi.org/10.2307/2347760.</w:t>
      </w:r>
    </w:p>
    <w:p>
      <w:r>
        <w:t>39. Turnbull BW. 1976. The empirical distribution function with arbitrarily grouped, censored and truncated data. J R Stat Soc Series B Stat Methodol 38:290-295. https://doi.org/10.1111/j.2517-6161.1976.tb01597.x.</w:t>
      </w:r>
    </w:p>
    <w:p>
      <w:r>
        <w:t>40. Kaplan EL, Meier P. 1958. Nonparametric estimation from incomplete observations. J Am Stat Assoc 53:457-481. https://doi.org/10.1080/01621459.1958.10501452.</w:t>
      </w:r>
    </w:p>
    <w:p>
      <w:r>
        <w:t>41. Cox DR. 1972. Regression models and life-tables. J R Stat Soc Series B Stat Methodol 34:187-202. https://doi.org/10.1111/j.2517-6161.1972.tb00899.x.</w:t>
      </w:r>
    </w:p>
    <w:p>
      <w:r>
        <w:t>42. Field CA, Welsh AH. 2007. Bootstrapping clustered data. J R Stat Soc Series B Stat Methodol 69:369-390. https://doi.org/10.1111/j.1467-9868.2007.00593.x.</w:t>
      </w:r>
    </w:p>
    <w:p>
      <w:r>
        <w:t>43. Schoenfeld D. 1982. Partial residuals for the proportional hazards regression model. Biometrika 69:239-241. https://doi.org/10.1093/biomet/69.1.239.</w:t>
      </w:r>
    </w:p>
    <w:p>
      <w:r>
        <w:t>44. Grambsch PM, Therneau TM. 1994. Proportional hazards tests and diagnostics based on weighted residuals. Biometrika 81:515-526. https://doi.org/10.1093/biomet/81.3.515.</w:t>
      </w:r>
    </w:p>
    <w:p>
      <w:r>
        <w:t>45. Efron B. 1979. Bootstrap methods: another look at the jackknife. Ann Stat 7:1-26. https://doi.org/10.1214/aos/1176344552.</w:t>
      </w:r>
    </w:p>
    <w:p>
      <w:r>
        <w:t>46. Brown LD, Cai TT, DasGupta A. 2001. Interval estimation for a binomial proportion. Stat Sci 16:101-133. https://doi.org/10.1214/ss/1009213286.</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