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Analiza lingwistyczna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07.03.2023 00:12:59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begin" w:fldLock="1"/>
                    <w:instrText xml:space="preserve">MERGEFIELD </w:instrText>
                    <w:instrText xml:space="preserve">ReportAuthor</w:instrTex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fldChar w:fldCharType="separate"/>
                    <w:t xml:space="preserve">{ReportAuthor}</w:t>
                  </w:r>
                  <w:r>
                    <w:fldChar w:fldCharType="end"/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C:\Users\piran\Desktop\MPSI\GIT wersjonowanie\MPSI\MPSI.EAP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6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"/>
                                <pic:cNvPicPr/>
                              </pic:nvPicPr>
                              <pic:blipFill>
                                <a:blip r:embed="img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   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Zamawiaj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Opis problemu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Grupy rzeoczwnikowe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6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Grupy czasownikowe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7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37F4267_6853_404F_90EC_6FB6DF70864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systemu informatycznego TURBOBANK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realizowanego dla banku Superbank.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B6A78B37_AE3A_4DD6_A3C7_B8699BAE8A0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zawiera analize lingwityczna, wykorzystywana przy projektowaniu systemu informatycznego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wspierajacego przetwarzanie wnioskow kredytowych w banku Superbank.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326A841B_6612_4142_801F_05B8D86388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sporz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dzony jest w celu identyfikacji procesow biznesowych, identyfikacji glownych aktorow 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wspomagania projektowania i architektury systemu informatycznego TURBOBANK.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ANALIZA_LINGWISTYCZNA"/>
      <w:bookmarkStart w:id="20" w:name="BKM_97B78148_AB87_46D1_9E78_2F431F9802F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Analiza lingwistyczna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87659778_CED7_4351_8AFB_5F6BDC097159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2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Analiza lingwistyczna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4f81bc"/>
        </w:rPr>
      </w:pPr>
      <w:r>
        <w:rPr>
          <w:rFonts w:ascii="Times New Roman" w:eastAsia="Times New Roman" w:hAnsi="Times New Roman" w:cs="Times New Roman"/>
          <w:sz w:val="20"/>
          <w:szCs w:val="20"/>
          <w:color w:val="4f81bc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Zamawiaj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cy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onek zarz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banku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Superbank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zleci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systemu TURBOBANK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przedstawiaj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c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Opis problemu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 Superbank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zajmuje si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udzielaniem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kredyt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klientom, kt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rzy zg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aszaj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do banku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ugi klienta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przyjmuje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otwiera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um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wionej wizycie w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banku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drukuje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papierow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kart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wniosku kredytowego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wpisuje na ni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dane osobowe i adresowe 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informacje o szczeg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ach kredytu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typ kredytu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rodzaj rat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czas sp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aty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wybrane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), a tak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sytuacji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finansowej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rodzaj dochodu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wysoko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dochodu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 dochodu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wiek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stan cywilny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banku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kseruje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wiadczenia o dochodach 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umieszcza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 we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wraz z samym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wnioskiem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identyfikuje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poprzez unikalny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numer PESEL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wzi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ąć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banku dowoln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kredyt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Teczka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przekazywana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kolejnym kroku podejmowana jest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decyzja analityczna.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przejmuje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teczk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ugi klienta i wydaje opini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analityczn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dokonuje analizy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wniosku. 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pobiera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Biura Informacji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Kredytowej informacje o historii kredytowej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jego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zad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eniu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wylicza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jego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scoring kredytowy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zakresie 0-100), po czym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sprawdza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 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prania brudnych pieni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dzy i malwersacji finansowych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wszystko liczone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cznie z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programu Excel.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zajdzie przypadek,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wykryje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malwersacje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finansowe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, w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wczas tworzy raport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przekazuje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dyrektorowi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wniosek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ocenia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negatywnie.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nie ma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podejrzenia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malwersacji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opiniuje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wpisuje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we wniosku swoj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opini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cowym etapie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pracownik dzia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 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ugi klienta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przejmuje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teczk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informuje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odmowie lub, w przypadku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pozytywnie rozpatrzonego 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podpisuje 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klientem umow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kredytow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grupa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zgodnie 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regulacjami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musi tworzy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dzienny raport dotycz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cy podejrzanych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transakcji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na jego podstawie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 z dzia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alno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ci banku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przegl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ewentualnie podaje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dodatkowe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parametry do przygotowania skorygowanego raportu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Na koniec tego procesu zatwierdza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jest do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Komisji nadzoru Finansowego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Bank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by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usprawni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decyzji kredytowych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zwi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zanych z tym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proces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Dlatego zamierza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opracowa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system informatyczny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przyspieszy i usprawni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procesowania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kredytowych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generowanie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sprawozda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Wszystkie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dane o klientach i ich wnioskach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b050"/>
        </w:rPr>
        <w:t xml:space="preserve">przechowywane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bazie danych systemu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 przyspieszy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atwi proces przetwarzania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klienta 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e-wniosek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zamiast wniosku papierowego). Praca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analityka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piona przez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automatyczne obliczenia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on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skupi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jedynie na ostatecznym ocenianiu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wniosk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Dyrektor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dzie mia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szybkiego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pu do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generowanych raport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szybkiego generowania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skorygowanych raport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 dziennych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Żą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dania udzia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ł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owca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zapewni: </w:t>
      </w:r>
    </w:p>
    <w:p>
      <w:pPr>
        <w:pStyle w:val="ListParagraph"/>
        <w:numPr>
          <w:ilvl w:val="0"/>
          <w:numId w:val="4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b050"/>
        </w:rPr>
        <w:t xml:space="preserve">Przechowywanie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informacji o klientach banku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Wspomaganie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procesu obs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ugi wniosku kredytowego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zakresie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obliczania scoringu kredytowego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wykrywania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podejrzanych transakcji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 jego opiniowania</w:t>
      </w:r>
    </w:p>
    <w:p>
      <w:pPr>
        <w:pStyle w:val="ListParagraph"/>
        <w:numPr>
          <w:ilvl w:val="0"/>
          <w:numId w:val="4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b05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opiniowania wniosku</w:t>
      </w:r>
    </w:p>
    <w:p>
      <w:pPr>
        <w:pStyle w:val="ListParagraph"/>
        <w:numPr>
          <w:ilvl w:val="0"/>
          <w:numId w:val="4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b050"/>
        </w:rPr>
        <w:t xml:space="preserve">Automatyzacj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ę</w:t>
      </w:r>
      <w:r>
        <w:rPr>
          <w:rFonts w:ascii="Calibri" w:eastAsia="Calibri" w:hAnsi="Calibri" w:cs="Calibri"/>
          <w:sz w:val="22"/>
          <w:szCs w:val="22"/>
          <w:color w:val="00b050"/>
        </w:rPr>
        <w:t xml:space="preserve"> generacji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 dziennych dotycz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cych podejrzanych transakcji oraz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w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dzia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ci banku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wysy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anych do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Komisji Nadzoru Finansowego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.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informacji o wnioskach kredytowych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dokumentach zwi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ą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zanych z wnioskiem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ListParagraph"/>
        <w:numPr>
          <w:ilvl w:val="0"/>
          <w:numId w:val="4"/>
        </w:numPr>
        <w:widowControl/>
        <w:contextualSpacing/>
        <w:spacing w:before="0" w:after="0" w:line="276" w:lineRule="auto"/>
        <w:ind w:left="720" w:hanging="360"/>
        <w:rPr>
          <w:rFonts w:hint="default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Przechowywanie 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raport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ó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w dziennych z dzia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ł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alno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ś</w:t>
      </w:r>
      <w:r>
        <w:rPr>
          <w:rFonts w:ascii="Calibri" w:eastAsia="Calibri" w:hAnsi="Calibri" w:cs="Calibri"/>
          <w:sz w:val="22"/>
          <w:szCs w:val="22"/>
          <w:color w:val="ff0000"/>
        </w:rPr>
        <w:t xml:space="preserve">ci banku</w:t>
      </w: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Grupy rzeoczwnikowe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Id w:val="0"/>
        <w:ilvl w:val="0"/>
        <w:spacing w:before="0" w:after="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Heading2"/>
        <w:numId w:val="0"/>
        <w:ilvl w:val="0"/>
        <w:spacing w:before="0" w:after="80" w:line="240"/>
        <w:ind w:left="360"/>
        <w:rPr>
          <w:rFonts w:hint="default"/>
          <w:sz w:val="32"/>
          <w:szCs w:val="32"/>
          <w:b/>
          <w:color w:val="4f81bc"/>
        </w:rPr>
      </w:pPr>
      <w:r>
        <w:rPr>
          <w:sz w:val="0"/>
          <w:szCs w:val="0"/>
          <w:b w:val="false"/>
          <w:color w:val="auto"/>
        </w:rPr>
        <w:drawing>
          <wp:inline distT="0" distB="0" distL="0" distR="0">
            <wp:extent cx="6019800" cy="9344025"/>
            <wp:effectExtent l="0" t="0" r="0" b="0"/>
            <wp:docPr id="6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/>
                    <pic:cNvPicPr/>
                  </pic:nvPicPr>
                  <pic:blipFill>
                    <a:blip r:embed="img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Heading2"/>
        <w:numId w:val="0"/>
        <w:ilvl w:val="0"/>
        <w:spacing w:before="0" w:after="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Heading2"/>
        <w:numId w:val="0"/>
        <w:ilvl w:val="0"/>
        <w:spacing w:before="0" w:after="0" w:line="2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Heading2"/>
        <w:numPr>
          <w:ilvl w:val="1"/>
          <w:numId w:val="5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Grupy czasownikowe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6179820" cy="6951345"/>
            <wp:effectExtent l="0" t="0" r="0" b="0"/>
            <wp:docPr id="6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/>
                    <pic:cNvPicPr/>
                  </pic:nvPicPr>
                  <pic:blipFill>
                    <a:blip r:embed="img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95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8432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10"/>
    <w:name w:val="List176239464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5">
    <w:nsid w:val="23689762"/>
    <w:name w:val="List594057058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lowerLetter"/>
      <w:suff w:val="tab"/>
    </w:lvl>
    <w:lvl w:ilvl="2">
      <w:start w:val="1"/>
      <w:lvlText w:val="%3."/>
      <w:numFmt w:val="lowerRoman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lowerLetter"/>
      <w:suff w:val="tab"/>
    </w:lvl>
    <w:lvl w:ilvl="5">
      <w:start w:val="1"/>
      <w:lvlText w:val="%6."/>
      <w:numFmt w:val="lowerRoman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lowerLetter"/>
      <w:suff w:val="tab"/>
    </w:lvl>
    <w:lvl w:ilvl="8">
      <w:start w:val="1"/>
      <w:lvlText w:val="%9."/>
      <w:numFmt w:val="lowerRoman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6" Type="http://schemas.openxmlformats.org/officeDocument/2006/relationships/image" Target="media/document_img16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2023-03-07T00:13:02</dcterms:created>
  <dcterms:modified xsi:type="dcterms:W3CDTF">2023-03-07T00:13:02</dcterms:modified>
</cp:coreProperties>
</file>