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80"/>
        <w:jc w:val="center"/>
      </w:pPr>
      <w:r>
        <w:rPr>
          <w:rFonts w:ascii="Calibri" w:hAnsi="Calibri"/>
          <w:b/>
          <w:color w:val="42AAB0"/>
          <w:sz w:val="30"/>
        </w:rPr>
        <w:t>MED-SDI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60"/>
        </w:rPr>
        <w:t>Autenticación en dos pasos</w:t>
      </w:r>
    </w:p>
    <w:p>
      <w:pPr>
        <w:spacing w:after="560"/>
        <w:jc w:val="center"/>
      </w:pPr>
      <w:r>
        <w:rPr>
          <w:rFonts w:ascii="Calibri" w:hAnsi="Calibri"/>
          <w:color w:val="5B6577"/>
          <w:sz w:val="30"/>
        </w:rPr>
        <w:t>Aprobación móvil para proteger el acceso web</w:t>
      </w:r>
    </w:p>
    <w:p>
      <w:pPr>
        <w:spacing w:before="1400"/>
        <w:jc w:val="center"/>
      </w:pPr>
      <w:r>
        <w:rPr>
          <w:rFonts w:ascii="Calibri" w:hAnsi="Calibri"/>
          <w:i/>
          <w:color w:val="5B6577"/>
          <w:sz w:val="22"/>
        </w:rPr>
        <w:t>Documento explicativo para usuarios y clientes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pPr>
        <w:pStyle w:val="MEDSDICallout"/>
        <w:spacing w:before="0" w:after="240"/>
        <w:shd w:fill="EAF1FB"/>
      </w:pPr>
      <w:r>
        <w:rPr>
          <w:b/>
        </w:rPr>
        <w:t xml:space="preserve">Objetivo. </w:t>
      </w:r>
      <w:r>
        <w:t>Agregar una segunda comprobación de identidad al acceso web. Además del correo y la contraseña, el profesional debe aprobar el ingreso desde un teléfono previamente vinculado.</w:t>
      </w:r>
    </w:p>
    <w:p>
      <w:r>
        <w:t>La autenticación en dos pasos de MED-SDI utiliza la aplicación móvil como medio de aprobación. Esto reduce el riesgo de acceso no autorizado cuando una contraseña ha sido expuesta o utilizada desde un equipo desconocido.</w:t>
      </w:r>
    </w:p>
    <w:p>
      <w:pPr>
        <w:pStyle w:val="Heading1"/>
      </w:pPr>
      <w:r>
        <w:t>2. Activación</w:t>
      </w:r>
    </w:p>
    <w:p>
      <w:r>
        <w:t>El profesional puede habilitar la protección desde Mi perfil &gt; Contraseña y seguridad &gt; Autenticación en dos pasos.</w:t>
      </w:r>
    </w:p>
    <w:p>
      <w:pPr>
        <w:pStyle w:val="ListNumber"/>
      </w:pPr>
      <w:r>
        <w:t>Primero debe iniciar sesión en la aplicación MED-SDI desde el teléfono que utilizará para aprobar accesos.</w:t>
      </w:r>
    </w:p>
    <w:p>
      <w:pPr>
        <w:pStyle w:val="ListNumber"/>
      </w:pPr>
      <w:r>
        <w:t>El teléfono se registra de forma segura en la cuenta autenticada.</w:t>
      </w:r>
    </w:p>
    <w:p>
      <w:pPr>
        <w:pStyle w:val="ListNumber"/>
      </w:pPr>
      <w:r>
        <w:t>Después puede activar la autenticación en dos pasos desde el perfil web.</w:t>
      </w:r>
    </w:p>
    <w:p>
      <w:pPr>
        <w:pStyle w:val="Heading1"/>
      </w:pPr>
      <w:r>
        <w:t>3. Flujo de un acceso protegido</w:t>
      </w:r>
    </w:p>
    <w:p>
      <w:pPr>
        <w:pStyle w:val="ListNumber"/>
      </w:pPr>
      <w:r>
        <w:rPr>
          <w:b/>
        </w:rPr>
        <w:t xml:space="preserve">Ingreso de credenciales: </w:t>
      </w:r>
      <w:r>
        <w:t>El profesional escribe su correo y contraseña en med-sdi.cl.</w:t>
      </w:r>
    </w:p>
    <w:p>
      <w:pPr>
        <w:pStyle w:val="ListNumber"/>
      </w:pPr>
      <w:r>
        <w:rPr>
          <w:b/>
        </w:rPr>
        <w:t xml:space="preserve">Creación del desafío: </w:t>
      </w:r>
      <w:r>
        <w:t>MED-SDI valida las credenciales y genera una solicitud de acceso que vence en cinco minutos.</w:t>
      </w:r>
    </w:p>
    <w:p>
      <w:pPr>
        <w:pStyle w:val="ListNumber"/>
      </w:pPr>
      <w:r>
        <w:rPr>
          <w:b/>
        </w:rPr>
        <w:t xml:space="preserve">Notificación móvil: </w:t>
      </w:r>
      <w:r>
        <w:t>El teléfono vinculado recibe una notificación con sonido y vibración.</w:t>
      </w:r>
    </w:p>
    <w:p>
      <w:pPr>
        <w:pStyle w:val="ListNumber"/>
      </w:pPr>
      <w:r>
        <w:rPr>
          <w:b/>
        </w:rPr>
        <w:t xml:space="preserve">Revisión: </w:t>
      </w:r>
      <w:r>
        <w:t>Desde Desafíos de acceso se muestran datos del intento, como la dirección IP y el dispositivo o navegador.</w:t>
      </w:r>
    </w:p>
    <w:p>
      <w:pPr>
        <w:pStyle w:val="ListNumber"/>
      </w:pPr>
      <w:r>
        <w:rPr>
          <w:b/>
        </w:rPr>
        <w:t xml:space="preserve">Decisión: </w:t>
      </w:r>
      <w:r>
        <w:t>El usuario puede aprobar o rechazar la solicitud.</w:t>
      </w:r>
    </w:p>
    <w:p>
      <w:pPr>
        <w:pStyle w:val="ListNumber"/>
      </w:pPr>
      <w:r>
        <w:rPr>
          <w:b/>
        </w:rPr>
        <w:t xml:space="preserve">Resultado: </w:t>
      </w:r>
      <w:r>
        <w:t>Si se aprueba, la sesión web se abre; si se rechaza o expira, el acceso queda bloqueado.</w:t>
      </w:r>
    </w:p>
    <w:p>
      <w:pPr>
        <w:pStyle w:val="Heading1"/>
      </w:pPr>
      <w:r>
        <w:t>4. Asociación entre cuenta y teléfono</w:t>
      </w:r>
    </w:p>
    <w:p>
      <w:r>
        <w:t>Cada dispositivo obtiene un identificador de Firebase. El backend lo vincula con el identificador interno del usuario que inició sesión. La relación principal es cuenta de usuario &gt; user_id &gt; dispositivo FCM.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rPr>
          <w:tblHeader w:val="true"/>
        </w:trPr>
        <w:tc>
          <w:tcPr>
            <w:tcW w:type="dxa" w:w="2400"/>
            <w:shd w:fill="1450B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Cuenta</w:t>
            </w:r>
          </w:p>
        </w:tc>
        <w:tc>
          <w:tcPr>
            <w:tcW w:type="dxa" w:w="1800"/>
            <w:shd w:fill="1450B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Identificador</w:t>
            </w:r>
          </w:p>
        </w:tc>
        <w:tc>
          <w:tcPr>
            <w:tcW w:type="dxa" w:w="5160"/>
            <w:shd w:fill="1450B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Destino de notificación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Profesional 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user_id 1630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Teléfonos activos del usuario 1630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Profesional 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user_id 2050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Teléfonos activos del usuario 2050</w:t>
            </w:r>
          </w:p>
        </w:tc>
      </w:tr>
    </w:tbl>
    <w:p>
      <w:r>
        <w:t>Resultado: cada profesional recibe únicamente sus propias solicitudes. No se envían al teléfono los intentos correspondientes a otros usuarios.</w:t>
      </w:r>
    </w:p>
    <w:p>
      <w:pPr>
        <w:pStyle w:val="Heading1"/>
      </w:pPr>
      <w:r>
        <w:t>5. Funcionamiento con perfiles y roles</w:t>
      </w:r>
    </w:p>
    <w:p>
      <w:r>
        <w:t>La aplicación reconoce los perfiles Paciente y Profesional. Si una cuenta dispone de ambos, permite seleccionar el rol activo; si sólo tiene uno, abre directamente la vista correspondiente.</w:t>
      </w:r>
    </w:p>
    <w:p>
      <w:pPr>
        <w:pStyle w:val="ListBullet"/>
      </w:pPr>
      <w:r>
        <w:t>La navegación y los menús se adaptan al rol seleccionado.</w:t>
      </w:r>
    </w:p>
    <w:p>
      <w:pPr>
        <w:pStyle w:val="ListBullet"/>
      </w:pPr>
      <w:r>
        <w:t>Las opciones exclusivas del paciente no se muestran en la vista profesional.</w:t>
      </w:r>
    </w:p>
    <w:p>
      <w:pPr>
        <w:pStyle w:val="ListBullet"/>
      </w:pPr>
      <w:r>
        <w:t>Los desafíos de acceso pueden revisarse desde cualquiera de los perfiles habilitados, porque pertenecen a la cuenta y no al rol visual.</w:t>
      </w:r>
    </w:p>
    <w:p>
      <w:pPr>
        <w:pStyle w:val="Heading1"/>
      </w:pPr>
      <w:r>
        <w:t>6. Notificaciones Android</w:t>
      </w:r>
    </w:p>
    <w:p>
      <w:r>
        <w:t>Las notificaciones pueden recibirse cuando la aplicación está:</w:t>
      </w:r>
    </w:p>
    <w:p>
      <w:pPr>
        <w:pStyle w:val="ListBullet"/>
      </w:pPr>
      <w:r>
        <w:t>Abierta y visible.</w:t>
      </w:r>
    </w:p>
    <w:p>
      <w:pPr>
        <w:pStyle w:val="ListBullet"/>
      </w:pPr>
      <w:r>
        <w:t>En segundo plano.</w:t>
      </w:r>
    </w:p>
    <w:p>
      <w:pPr>
        <w:pStyle w:val="ListBullet"/>
      </w:pPr>
      <w:r>
        <w:t>Fuera de la lista de aplicaciones recientes.</w:t>
      </w:r>
    </w:p>
    <w:p>
      <w:pPr>
        <w:pStyle w:val="ListBullet"/>
      </w:pPr>
      <w:r>
        <w:t>Con la pantalla apagada, siempre que el teléfono tenga conexión.</w:t>
      </w:r>
    </w:p>
    <w:p>
      <w:pPr>
        <w:pStyle w:val="MEDSDICallout"/>
        <w:shd w:fill="FFF4D6"/>
      </w:pPr>
      <w:r>
        <w:rPr>
          <w:b/>
        </w:rPr>
        <w:t xml:space="preserve">Importante. </w:t>
      </w:r>
      <w:r>
        <w:t>Android puede impedir la recepción si MED-SDI fue detenida forzosamente, si las notificaciones están desactivadas o si el sistema aplicó una restricción extrema de batería.</w:t>
      </w:r>
    </w:p>
    <w:p>
      <w:pPr>
        <w:pStyle w:val="Heading1"/>
      </w:pPr>
      <w:r>
        <w:t>7. Sesión móvil cerrada</w:t>
      </w:r>
    </w:p>
    <w:p>
      <w:r>
        <w:t>El dispositivo puede recibir una notificación aunque la sesión de la aplicación haya terminado, porque el teléfono continúa vinculado. Al tocarla, MED-SDI verifica primero si existe una sesión móvil válida.</w:t>
      </w:r>
    </w:p>
    <w:p>
      <w:pPr>
        <w:pStyle w:val="ListBullet"/>
      </w:pPr>
      <w:r>
        <w:t>Si la sesión está activa, abre directamente Desafíos de acceso.</w:t>
      </w:r>
    </w:p>
    <w:p>
      <w:pPr>
        <w:pStyle w:val="ListBullet"/>
      </w:pPr>
      <w:r>
        <w:t>Si la sesión terminó, muestra el login sin superponer pantallas.</w:t>
      </w:r>
    </w:p>
    <w:p>
      <w:pPr>
        <w:pStyle w:val="ListBullet"/>
      </w:pPr>
      <w:r>
        <w:t>Después de autenticarse desde el mismo teléfono, abre automáticamente el desafío pendiente.</w:t>
      </w:r>
    </w:p>
    <w:p>
      <w:pPr>
        <w:pStyle w:val="Heading1"/>
      </w:pPr>
      <w:r>
        <w:t>8. Uso de teléfonos adicionales</w:t>
      </w:r>
    </w:p>
    <w:p>
      <w:r>
        <w:t>Un teléfono ya vinculado puede volver a iniciar sesión con el 2FA activo. Un teléfono nuevo no se considera confiable automáticamente.</w:t>
      </w:r>
    </w:p>
    <w:p>
      <w:r>
        <w:t>Con el flujo actual, para incorporar un teléfono nuevo se debe desactivar temporalmente el 2FA, iniciar sesión en ese dispositivo, confirmar su registro y volver a activar la protección.</w:t>
      </w:r>
    </w:p>
    <w:p>
      <w:pPr>
        <w:pStyle w:val="Heading1"/>
      </w:pPr>
      <w:r>
        <w:t>9. Controles de seguridad incorporados</w:t>
      </w:r>
    </w:p>
    <w:p>
      <w:pPr>
        <w:pStyle w:val="ListBullet"/>
      </w:pPr>
      <w:r>
        <w:t>Los desafíos expiran automáticamente después de cinco minutos.</w:t>
      </w:r>
    </w:p>
    <w:p>
      <w:pPr>
        <w:pStyle w:val="ListBullet"/>
      </w:pPr>
      <w:r>
        <w:t>Cada solicitud pertenece exclusivamente al usuario que intenta ingresar.</w:t>
      </w:r>
    </w:p>
    <w:p>
      <w:pPr>
        <w:pStyle w:val="ListBullet"/>
      </w:pPr>
      <w:r>
        <w:t>Las rutas para consultar, aprobar y rechazar requieren autenticación.</w:t>
      </w:r>
    </w:p>
    <w:p>
      <w:pPr>
        <w:pStyle w:val="ListBullet"/>
      </w:pPr>
      <w:r>
        <w:t>Un desafío resuelto o expirado no puede reutilizarse.</w:t>
      </w:r>
    </w:p>
    <w:p>
      <w:pPr>
        <w:pStyle w:val="ListBullet"/>
      </w:pPr>
      <w:r>
        <w:t>Los tokens FCM inválidos se desactivan.</w:t>
      </w:r>
    </w:p>
    <w:p>
      <w:pPr>
        <w:pStyle w:val="ListBullet"/>
      </w:pPr>
      <w:r>
        <w:t>Un teléfono desconocido no puede reingresar cuando el 2FA está activo.</w:t>
      </w:r>
    </w:p>
    <w:p>
      <w:pPr>
        <w:pStyle w:val="ListBullet"/>
      </w:pPr>
      <w:r>
        <w:t>La credencial privada de Firebase se conserva únicamente en el servidor.</w:t>
      </w:r>
    </w:p>
    <w:p>
      <w:pPr>
        <w:pStyle w:val="Heading1"/>
      </w:pPr>
      <w:r>
        <w:t>10. Recomendaciones para el usuario</w:t>
      </w:r>
    </w:p>
    <w:p>
      <w:pPr>
        <w:pStyle w:val="ListBullet"/>
      </w:pPr>
      <w:r>
        <w:t>Mantener la sesión móvil disponible mientras el 2FA esté activado.</w:t>
      </w:r>
    </w:p>
    <w:p>
      <w:pPr>
        <w:pStyle w:val="ListBullet"/>
      </w:pPr>
      <w:r>
        <w:t>Aprobar únicamente accesos que haya iniciado personalmente.</w:t>
      </w:r>
    </w:p>
    <w:p>
      <w:pPr>
        <w:pStyle w:val="ListBullet"/>
      </w:pPr>
      <w:r>
        <w:t>Rechazar de inmediato cualquier solicitud desconocida.</w:t>
      </w:r>
    </w:p>
    <w:p>
      <w:pPr>
        <w:pStyle w:val="ListBullet"/>
      </w:pPr>
      <w:r>
        <w:t>No compartir credenciales ni capturas que expongan tokens.</w:t>
      </w:r>
    </w:p>
    <w:p>
      <w:pPr>
        <w:pStyle w:val="ListBullet"/>
      </w:pPr>
      <w:r>
        <w:t>Revocar o reportar un teléfono perdido.</w:t>
      </w:r>
    </w:p>
    <w:p>
      <w:pPr>
        <w:pStyle w:val="ListBullet"/>
      </w:pPr>
      <w:r>
        <w:t>Mantener habilitadas las notificaciones y la actividad en segundo plano de MED-SDI.</w:t>
      </w:r>
    </w:p>
    <w:p>
      <w:pPr>
        <w:pStyle w:val="Heading1"/>
      </w:pPr>
      <w:r>
        <w:t>Resumen para comunicar al cliente</w:t>
      </w:r>
    </w:p>
    <w:p>
      <w:pPr>
        <w:pStyle w:val="MEDSDICallout"/>
        <w:shd w:fill="EAF1FB"/>
      </w:pPr>
      <w:r>
        <w:t>MED-SDI protege el acceso web mediante aprobación móvil. Cuando el profesional intenta ingresar, recibe una notificación en su teléfono y puede aprobar o rechazar la solicitud. Sin la aprobación del dispositivo vinculado, el acceso no se completa. Cada teléfono está asociado exclusivamente con su cuenta y las solicitudes expiran automáticamente después de cinco minutos.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7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450BD"/>
        <w:sz w:val="18"/>
      </w:rPr>
      <w:t>MED-SDI  |  Seguridad de acceso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50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50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SDICallout">
    <w:name w:val="MEDSDI Callout"/>
    <w:pPr>
      <w:spacing w:before="160" w:after="160"/>
      <w:ind w:left="259" w:right="259"/>
    </w:pPr>
    <w:rPr>
      <w:rFonts w:ascii="Calibri" w:hAnsi="Calibri"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Autenticación en dos pasos MED-SDI</dc:title>
  <dc:subject>Guía explicativa para usuarios y clientes</dc:subject>
  <dc:creator>MED-SDI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