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4A" w:rsidRPr="0026514A" w:rsidRDefault="0026514A" w:rsidP="0026514A">
      <w:pPr>
        <w:spacing w:line="360" w:lineRule="auto"/>
        <w:jc w:val="center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Proactive and reactive control processes involve dynamic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reorganisation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of alpha and theta </w:t>
      </w:r>
      <w:r>
        <w:rPr>
          <w:rFonts w:asciiTheme="majorHAnsi" w:hAnsiTheme="majorHAnsi"/>
          <w:sz w:val="22"/>
          <w:szCs w:val="22"/>
          <w:lang w:val="en-US"/>
        </w:rPr>
        <w:t>oscillatory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 networks</w:t>
      </w:r>
    </w:p>
    <w:p w:rsidR="0026514A" w:rsidRPr="0026514A" w:rsidRDefault="0026514A" w:rsidP="0026514A">
      <w:pPr>
        <w:spacing w:line="360" w:lineRule="auto"/>
        <w:jc w:val="center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Patrick S.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Cooper</w:t>
      </w:r>
      <w:r w:rsidRPr="0026514A">
        <w:rPr>
          <w:rFonts w:asciiTheme="majorHAnsi" w:hAnsiTheme="majorHAnsi"/>
          <w:sz w:val="22"/>
          <w:szCs w:val="22"/>
          <w:vertAlign w:val="superscript"/>
          <w:lang w:val="en-US"/>
        </w:rPr>
        <w:t>a</w:t>
      </w:r>
      <w:proofErr w:type="gramStart"/>
      <w:r w:rsidRPr="0026514A">
        <w:rPr>
          <w:rFonts w:asciiTheme="majorHAnsi" w:hAnsiTheme="majorHAnsi"/>
          <w:sz w:val="22"/>
          <w:szCs w:val="22"/>
          <w:vertAlign w:val="superscript"/>
          <w:lang w:val="en-US"/>
        </w:rPr>
        <w:t>,b,c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, Aaron S.W.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Wong</w:t>
      </w:r>
      <w:r w:rsidRPr="0026514A">
        <w:rPr>
          <w:rFonts w:asciiTheme="majorHAnsi" w:hAnsiTheme="majorHAnsi"/>
          <w:sz w:val="22"/>
          <w:szCs w:val="22"/>
          <w:vertAlign w:val="superscript"/>
          <w:lang w:val="en-US"/>
        </w:rPr>
        <w:t>b,d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Elise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Mans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eld</w:t>
      </w:r>
      <w:r w:rsidRPr="0026514A">
        <w:rPr>
          <w:rFonts w:asciiTheme="majorHAnsi" w:hAnsiTheme="majorHAnsi"/>
          <w:sz w:val="22"/>
          <w:szCs w:val="22"/>
          <w:vertAlign w:val="superscript"/>
          <w:lang w:val="en-US"/>
        </w:rPr>
        <w:t>a,b,c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W. Ross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Fulham</w:t>
      </w:r>
      <w:r w:rsidRPr="0026514A">
        <w:rPr>
          <w:rFonts w:asciiTheme="majorHAnsi" w:hAnsiTheme="majorHAnsi"/>
          <w:sz w:val="22"/>
          <w:szCs w:val="22"/>
          <w:vertAlign w:val="superscript"/>
          <w:lang w:val="en-US"/>
        </w:rPr>
        <w:t>a,b,c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Patricia T.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Michie</w:t>
      </w:r>
      <w:r w:rsidRPr="0026514A">
        <w:rPr>
          <w:rFonts w:asciiTheme="majorHAnsi" w:hAnsiTheme="majorHAnsi"/>
          <w:sz w:val="22"/>
          <w:szCs w:val="22"/>
          <w:vertAlign w:val="superscript"/>
          <w:lang w:val="en-US"/>
        </w:rPr>
        <w:t>a,b,c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Frini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Karayanidis</w:t>
      </w:r>
      <w:r w:rsidRPr="0026514A">
        <w:rPr>
          <w:rFonts w:asciiTheme="majorHAnsi" w:hAnsiTheme="majorHAnsi"/>
          <w:sz w:val="22"/>
          <w:szCs w:val="22"/>
          <w:vertAlign w:val="superscript"/>
          <w:lang w:val="en-US"/>
        </w:rPr>
        <w:t>a,b,c</w:t>
      </w:r>
      <w:proofErr w:type="spellEnd"/>
    </w:p>
    <w:p w:rsidR="0026514A" w:rsidRPr="0026514A" w:rsidRDefault="0026514A" w:rsidP="0026514A">
      <w:pPr>
        <w:spacing w:line="360" w:lineRule="auto"/>
        <w:jc w:val="center"/>
        <w:rPr>
          <w:rFonts w:asciiTheme="majorHAnsi" w:hAnsiTheme="majorHAnsi"/>
          <w:sz w:val="22"/>
          <w:szCs w:val="22"/>
          <w:lang w:val="en-US"/>
        </w:rPr>
      </w:pPr>
      <w:proofErr w:type="gramStart"/>
      <w:r>
        <w:rPr>
          <w:rFonts w:asciiTheme="majorHAnsi" w:hAnsiTheme="majorHAnsi"/>
          <w:b/>
          <w:bCs/>
          <w:sz w:val="22"/>
          <w:szCs w:val="22"/>
          <w:lang w:val="en-US"/>
        </w:rPr>
        <w:t>a</w:t>
      </w:r>
      <w:proofErr w:type="gramEnd"/>
      <w:r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School of Psychology,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Universtiy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of Newcastle</w:t>
      </w:r>
    </w:p>
    <w:p w:rsidR="0026514A" w:rsidRPr="0026514A" w:rsidRDefault="0026514A" w:rsidP="0026514A">
      <w:pPr>
        <w:spacing w:line="360" w:lineRule="auto"/>
        <w:jc w:val="center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b</w:t>
      </w:r>
      <w:proofErr w:type="gramEnd"/>
      <w:r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Functional Neuroimaging Laboratory, University of Newcastle</w:t>
      </w:r>
    </w:p>
    <w:p w:rsidR="0026514A" w:rsidRPr="0026514A" w:rsidRDefault="0026514A" w:rsidP="0026514A">
      <w:pPr>
        <w:spacing w:line="360" w:lineRule="auto"/>
        <w:jc w:val="center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c</w:t>
      </w:r>
      <w:proofErr w:type="gramEnd"/>
      <w:r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Hunter Medical Research Institute, University of Newcastle</w:t>
      </w:r>
    </w:p>
    <w:p w:rsidR="0026514A" w:rsidRPr="0026514A" w:rsidRDefault="0026514A" w:rsidP="0026514A">
      <w:pPr>
        <w:spacing w:line="360" w:lineRule="auto"/>
        <w:jc w:val="center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d</w:t>
      </w:r>
      <w:proofErr w:type="gramEnd"/>
      <w:r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School of Engineering, University of Newcastle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b/>
          <w:sz w:val="22"/>
          <w:szCs w:val="22"/>
          <w:lang w:val="en-US"/>
        </w:rPr>
      </w:pPr>
      <w:r w:rsidRPr="0026514A">
        <w:rPr>
          <w:rFonts w:asciiTheme="majorHAnsi" w:hAnsiTheme="majorHAnsi"/>
          <w:b/>
          <w:sz w:val="22"/>
          <w:szCs w:val="22"/>
          <w:lang w:val="en-US"/>
        </w:rPr>
        <w:t>1. Introduction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Cognitive control processes allow us to adjust our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behaviour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r>
        <w:rPr>
          <w:rFonts w:asciiTheme="majorHAnsi" w:hAnsiTheme="majorHAnsi"/>
          <w:sz w:val="22"/>
          <w:szCs w:val="22"/>
          <w:lang w:val="en-US"/>
        </w:rPr>
        <w:t>fl</w:t>
      </w:r>
      <w:r w:rsidRPr="0026514A">
        <w:rPr>
          <w:rFonts w:asciiTheme="majorHAnsi" w:hAnsiTheme="majorHAnsi"/>
          <w:sz w:val="22"/>
          <w:szCs w:val="22"/>
          <w:lang w:val="en-US"/>
        </w:rPr>
        <w:t>exibly in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order to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meet 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nternal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motivations or goals. Depending on contextual constraints,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this control can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be </w:t>
      </w:r>
      <w:r>
        <w:rPr>
          <w:rFonts w:asciiTheme="majorHAnsi" w:hAnsiTheme="majorHAnsi"/>
          <w:sz w:val="22"/>
          <w:szCs w:val="22"/>
          <w:lang w:val="en-US"/>
        </w:rPr>
        <w:t xml:space="preserve"> a</w:t>
      </w:r>
      <w:r w:rsidRPr="0026514A">
        <w:rPr>
          <w:rFonts w:asciiTheme="majorHAnsi" w:hAnsiTheme="majorHAnsi"/>
          <w:sz w:val="22"/>
          <w:szCs w:val="22"/>
          <w:lang w:val="en-US"/>
        </w:rPr>
        <w:t>dopted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either proactively, pre-setting the system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to be sensitive to goal-relevant features of the environment or reactively,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responding to such goal-relevant features on a needs basis 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Braver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2012</w:t>
      </w:r>
      <w:r w:rsidRPr="0026514A">
        <w:rPr>
          <w:rFonts w:asciiTheme="majorHAnsi" w:hAnsiTheme="majorHAnsi"/>
          <w:sz w:val="22"/>
          <w:szCs w:val="22"/>
          <w:lang w:val="en-US"/>
        </w:rPr>
        <w:t>).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The implementation of these control processes is known to rely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on an extensive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and well-described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frontoparietal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communication architecture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(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Corbetta</w:t>
      </w:r>
      <w:proofErr w:type="spellEnd"/>
      <w:r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and Shulman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2002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Seeley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2007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Vincent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2008</w:t>
      </w:r>
      <w:r w:rsidRPr="0026514A">
        <w:rPr>
          <w:rFonts w:asciiTheme="majorHAnsi" w:hAnsiTheme="majorHAnsi"/>
          <w:sz w:val="22"/>
          <w:szCs w:val="22"/>
          <w:lang w:val="en-US"/>
        </w:rPr>
        <w:t>) that is well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suited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to promote 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>
        <w:rPr>
          <w:rFonts w:asciiTheme="majorHAnsi" w:hAnsiTheme="majorHAnsi"/>
          <w:sz w:val="22"/>
          <w:szCs w:val="22"/>
          <w:lang w:val="en-US"/>
        </w:rPr>
        <w:t>fl</w:t>
      </w:r>
      <w:r w:rsidRPr="0026514A">
        <w:rPr>
          <w:rFonts w:asciiTheme="majorHAnsi" w:hAnsiTheme="majorHAnsi"/>
          <w:sz w:val="22"/>
          <w:szCs w:val="22"/>
          <w:lang w:val="en-US"/>
        </w:rPr>
        <w:t>exible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and rapid information propagation (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Dosenbach</w:t>
      </w:r>
      <w:proofErr w:type="spellEnd"/>
      <w:r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2008</w:t>
      </w:r>
      <w:r w:rsidRPr="0026514A">
        <w:rPr>
          <w:rFonts w:asciiTheme="majorHAnsi" w:hAnsiTheme="majorHAnsi"/>
          <w:sz w:val="22"/>
          <w:szCs w:val="22"/>
          <w:lang w:val="en-US"/>
        </w:rPr>
        <w:t>). Yet, despite the increasing knowledge regarding the anatomical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architecture that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permits </w:t>
      </w:r>
      <w:r>
        <w:rPr>
          <w:rFonts w:asciiTheme="majorHAnsi" w:hAnsiTheme="majorHAnsi"/>
          <w:sz w:val="22"/>
          <w:szCs w:val="22"/>
          <w:lang w:val="en-US"/>
        </w:rPr>
        <w:t xml:space="preserve"> fl</w:t>
      </w:r>
      <w:r w:rsidRPr="0026514A">
        <w:rPr>
          <w:rFonts w:asciiTheme="majorHAnsi" w:hAnsiTheme="majorHAnsi"/>
          <w:sz w:val="22"/>
          <w:szCs w:val="22"/>
          <w:lang w:val="en-US"/>
        </w:rPr>
        <w:t>exible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control, the functional properties of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this network are less well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characterised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</w:t>
      </w:r>
    </w:p>
    <w:p w:rsidR="0026514A" w:rsidRPr="0026514A" w:rsidRDefault="0026514A" w:rsidP="0026514A">
      <w:pPr>
        <w:spacing w:line="360" w:lineRule="auto"/>
        <w:ind w:firstLine="72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One plausible mechanism by which information can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be </w:t>
      </w:r>
      <w:r>
        <w:rPr>
          <w:rFonts w:asciiTheme="majorHAnsi" w:hAnsiTheme="majorHAnsi"/>
          <w:sz w:val="22"/>
          <w:szCs w:val="22"/>
          <w:lang w:val="en-US"/>
        </w:rPr>
        <w:t xml:space="preserve"> fl</w:t>
      </w:r>
      <w:r w:rsidRPr="0026514A">
        <w:rPr>
          <w:rFonts w:asciiTheme="majorHAnsi" w:hAnsiTheme="majorHAnsi"/>
          <w:sz w:val="22"/>
          <w:szCs w:val="22"/>
          <w:lang w:val="en-US"/>
        </w:rPr>
        <w:t>exibly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adjusted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and rerouted in the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frontoparietal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network is oscillatory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Separate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populations </w:t>
      </w:r>
      <w:r>
        <w:rPr>
          <w:rFonts w:asciiTheme="majorHAnsi" w:hAnsiTheme="majorHAnsi"/>
          <w:sz w:val="22"/>
          <w:szCs w:val="22"/>
          <w:lang w:val="en-US"/>
        </w:rPr>
        <w:t xml:space="preserve"> o</w:t>
      </w:r>
      <w:r w:rsidRPr="0026514A">
        <w:rPr>
          <w:rFonts w:asciiTheme="majorHAnsi" w:hAnsiTheme="majorHAnsi"/>
          <w:sz w:val="22"/>
          <w:szCs w:val="22"/>
          <w:lang w:val="en-US"/>
        </w:rPr>
        <w:t>f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neurons are able to exchange information transiently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by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synchronising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the excitability </w:t>
      </w:r>
      <w:r>
        <w:rPr>
          <w:rFonts w:asciiTheme="majorHAnsi" w:hAnsiTheme="majorHAnsi"/>
          <w:sz w:val="22"/>
          <w:szCs w:val="22"/>
          <w:lang w:val="en-US"/>
        </w:rPr>
        <w:t xml:space="preserve"> w</w:t>
      </w:r>
      <w:r w:rsidRPr="0026514A">
        <w:rPr>
          <w:rFonts w:asciiTheme="majorHAnsi" w:hAnsiTheme="majorHAnsi"/>
          <w:sz w:val="22"/>
          <w:szCs w:val="22"/>
          <w:lang w:val="en-US"/>
        </w:rPr>
        <w:t>indows in which they are most sensitive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to electrical in</w:t>
      </w:r>
      <w:r>
        <w:rPr>
          <w:rFonts w:asciiTheme="majorHAnsi" w:hAnsiTheme="majorHAnsi"/>
          <w:sz w:val="22"/>
          <w:szCs w:val="22"/>
          <w:lang w:val="en-US"/>
        </w:rPr>
        <w:t>fl</w:t>
      </w:r>
      <w:r w:rsidRPr="0026514A">
        <w:rPr>
          <w:rFonts w:asciiTheme="majorHAnsi" w:hAnsiTheme="majorHAnsi"/>
          <w:sz w:val="22"/>
          <w:szCs w:val="22"/>
          <w:lang w:val="en-US"/>
        </w:rPr>
        <w:t>uxes 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Fries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2005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Womelsdorf and Fries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2006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). Such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produces assemblies of neurons that are functionally connected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for a given period of time. The neurons in these assemblies oscillate rhythmically,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allowing receiving and transmitting components to precisely time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their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ring ra</w:t>
      </w:r>
      <w:r>
        <w:rPr>
          <w:rFonts w:asciiTheme="majorHAnsi" w:hAnsiTheme="majorHAnsi"/>
          <w:sz w:val="22"/>
          <w:szCs w:val="22"/>
          <w:lang w:val="en-US"/>
        </w:rPr>
        <w:t>tes, and thereby achieving an effi</w:t>
      </w:r>
      <w:r w:rsidRPr="0026514A">
        <w:rPr>
          <w:rFonts w:asciiTheme="majorHAnsi" w:hAnsiTheme="majorHAnsi"/>
          <w:sz w:val="22"/>
          <w:szCs w:val="22"/>
          <w:lang w:val="en-US"/>
        </w:rPr>
        <w:t>cient mechanism to exchange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information within the assembly that is also less sensitive to competing inputs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from alternative assemblies (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Azouz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and Gray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2003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Engel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2001</w:t>
      </w:r>
      <w:r w:rsidRPr="0026514A">
        <w:rPr>
          <w:rFonts w:asciiTheme="majorHAnsi" w:hAnsiTheme="majorHAnsi"/>
          <w:sz w:val="22"/>
          <w:szCs w:val="22"/>
          <w:lang w:val="en-US"/>
        </w:rPr>
        <w:t>).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Indeed, oscillatory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has been shown to be functionally relevant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in numerous higher-order cognitive processes such as working memory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Huang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2013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Palva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2005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Pesonen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2007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Sauseng</w:t>
      </w:r>
      <w:proofErr w:type="spellEnd"/>
      <w:r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2005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Wu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2007</w:t>
      </w:r>
      <w:r w:rsidRPr="0026514A">
        <w:rPr>
          <w:rFonts w:asciiTheme="majorHAnsi" w:hAnsiTheme="majorHAnsi"/>
          <w:sz w:val="22"/>
          <w:szCs w:val="22"/>
          <w:lang w:val="en-US"/>
        </w:rPr>
        <w:t>), selective attention (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Doesburg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and Ward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2007</w:t>
      </w:r>
      <w:r w:rsidRPr="0026514A">
        <w:rPr>
          <w:rFonts w:asciiTheme="majorHAnsi" w:hAnsiTheme="majorHAnsi"/>
          <w:sz w:val="22"/>
          <w:szCs w:val="22"/>
          <w:lang w:val="en-US"/>
        </w:rPr>
        <w:t>;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Doesburg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2009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Kahlbrock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2012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Maris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2013</w:t>
      </w:r>
      <w:r w:rsidRPr="0026514A">
        <w:rPr>
          <w:rFonts w:asciiTheme="majorHAnsi" w:hAnsiTheme="majorHAnsi"/>
          <w:sz w:val="22"/>
          <w:szCs w:val="22"/>
          <w:lang w:val="en-US"/>
        </w:rPr>
        <w:t>) and inhibition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(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Papenberg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2013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Serrien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2004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Tallet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2009</w:t>
      </w:r>
      <w:r w:rsidRPr="0026514A">
        <w:rPr>
          <w:rFonts w:asciiTheme="majorHAnsi" w:hAnsiTheme="majorHAnsi"/>
          <w:sz w:val="22"/>
          <w:szCs w:val="22"/>
          <w:lang w:val="en-US"/>
        </w:rPr>
        <w:t>). By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transiently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synchronising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activity within the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frontoparietal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network, goal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relevant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lastRenderedPageBreak/>
        <w:t>representations may be a</w:t>
      </w:r>
      <w:r>
        <w:rPr>
          <w:rFonts w:asciiTheme="majorHAnsi" w:hAnsiTheme="majorHAnsi"/>
          <w:sz w:val="22"/>
          <w:szCs w:val="22"/>
          <w:lang w:val="en-US"/>
        </w:rPr>
        <w:t>ff</w:t>
      </w:r>
      <w:r w:rsidRPr="0026514A">
        <w:rPr>
          <w:rFonts w:asciiTheme="majorHAnsi" w:hAnsiTheme="majorHAnsi"/>
          <w:sz w:val="22"/>
          <w:szCs w:val="22"/>
          <w:lang w:val="en-US"/>
        </w:rPr>
        <w:t>orded an elevated processing status that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permits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</w:t>
      </w:r>
      <w:r>
        <w:rPr>
          <w:rFonts w:asciiTheme="majorHAnsi" w:hAnsiTheme="majorHAnsi"/>
          <w:sz w:val="22"/>
          <w:szCs w:val="22"/>
          <w:lang w:val="en-US"/>
        </w:rPr>
        <w:t>ff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ective </w:t>
      </w:r>
      <w:r>
        <w:rPr>
          <w:rFonts w:asciiTheme="majorHAnsi" w:hAnsiTheme="majorHAnsi"/>
          <w:sz w:val="22"/>
          <w:szCs w:val="22"/>
          <w:lang w:val="en-US"/>
        </w:rPr>
        <w:t xml:space="preserve"> c</w:t>
      </w:r>
      <w:r w:rsidRPr="0026514A">
        <w:rPr>
          <w:rFonts w:asciiTheme="majorHAnsi" w:hAnsiTheme="majorHAnsi"/>
          <w:sz w:val="22"/>
          <w:szCs w:val="22"/>
          <w:lang w:val="en-US"/>
        </w:rPr>
        <w:t>ognitive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control.</w:t>
      </w:r>
    </w:p>
    <w:p w:rsidR="0026514A" w:rsidRPr="0026514A" w:rsidRDefault="0026514A" w:rsidP="0026514A">
      <w:pPr>
        <w:spacing w:line="360" w:lineRule="auto"/>
        <w:ind w:firstLine="72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The evidence for the role of oscillatory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in cognitive control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is </w:t>
      </w:r>
      <w:r>
        <w:rPr>
          <w:rFonts w:asciiTheme="majorHAnsi" w:hAnsiTheme="majorHAnsi"/>
          <w:sz w:val="22"/>
          <w:szCs w:val="22"/>
          <w:lang w:val="en-US"/>
        </w:rPr>
        <w:t xml:space="preserve"> c</w:t>
      </w:r>
      <w:r w:rsidRPr="0026514A">
        <w:rPr>
          <w:rFonts w:asciiTheme="majorHAnsi" w:hAnsiTheme="majorHAnsi"/>
          <w:sz w:val="22"/>
          <w:szCs w:val="22"/>
          <w:lang w:val="en-US"/>
        </w:rPr>
        <w:t>urrently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largely restricted to slow wave, theta (4-7Hz) </w:t>
      </w:r>
      <w:r>
        <w:rPr>
          <w:rFonts w:asciiTheme="majorHAnsi" w:hAnsiTheme="majorHAnsi"/>
          <w:sz w:val="22"/>
          <w:szCs w:val="22"/>
          <w:lang w:val="en-US"/>
        </w:rPr>
        <w:t xml:space="preserve">synchronization </w:t>
      </w:r>
      <w:r w:rsidRPr="0026514A">
        <w:rPr>
          <w:rFonts w:asciiTheme="majorHAnsi" w:hAnsiTheme="majorHAnsi"/>
          <w:sz w:val="22"/>
          <w:szCs w:val="22"/>
          <w:lang w:val="en-US"/>
        </w:rPr>
        <w:t>in goal and response con</w:t>
      </w:r>
      <w:r>
        <w:rPr>
          <w:rFonts w:asciiTheme="majorHAnsi" w:hAnsiTheme="majorHAnsi"/>
          <w:sz w:val="22"/>
          <w:szCs w:val="22"/>
          <w:lang w:val="en-US"/>
        </w:rPr>
        <w:t>fl</w:t>
      </w:r>
      <w:r w:rsidRPr="0026514A">
        <w:rPr>
          <w:rFonts w:asciiTheme="majorHAnsi" w:hAnsiTheme="majorHAnsi"/>
          <w:sz w:val="22"/>
          <w:szCs w:val="22"/>
          <w:lang w:val="en-US"/>
        </w:rPr>
        <w:t>ict resolution. For example, increases in theta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have been reported in paradigms requiring error detection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and post-error correction 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Cavanagh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2009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Luu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2004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Trujillo</w:t>
      </w:r>
      <w:r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and Allen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2007</w:t>
      </w:r>
      <w:r w:rsidRPr="0026514A">
        <w:rPr>
          <w:rFonts w:asciiTheme="majorHAnsi" w:hAnsiTheme="majorHAnsi"/>
          <w:sz w:val="22"/>
          <w:szCs w:val="22"/>
          <w:lang w:val="en-US"/>
        </w:rPr>
        <w:t>), goal con</w:t>
      </w:r>
      <w:r>
        <w:rPr>
          <w:rFonts w:asciiTheme="majorHAnsi" w:hAnsiTheme="majorHAnsi"/>
          <w:sz w:val="22"/>
          <w:szCs w:val="22"/>
          <w:lang w:val="en-US"/>
        </w:rPr>
        <w:t>fl</w:t>
      </w:r>
      <w:r w:rsidRPr="0026514A">
        <w:rPr>
          <w:rFonts w:asciiTheme="majorHAnsi" w:hAnsiTheme="majorHAnsi"/>
          <w:sz w:val="22"/>
          <w:szCs w:val="22"/>
          <w:lang w:val="en-US"/>
        </w:rPr>
        <w:t>ict and response selection 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Moore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2006</w:t>
      </w:r>
      <w:r w:rsidRPr="0026514A">
        <w:rPr>
          <w:rFonts w:asciiTheme="majorHAnsi" w:hAnsiTheme="majorHAnsi"/>
          <w:sz w:val="22"/>
          <w:szCs w:val="22"/>
          <w:lang w:val="en-US"/>
        </w:rPr>
        <w:t>,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2012</w:t>
      </w:r>
      <w:r w:rsidRPr="0026514A">
        <w:rPr>
          <w:rFonts w:asciiTheme="majorHAnsi" w:hAnsiTheme="majorHAnsi"/>
          <w:sz w:val="22"/>
          <w:szCs w:val="22"/>
          <w:lang w:val="en-US"/>
        </w:rPr>
        <w:t>), as well as in task switching (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Sauseng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2006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). As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these goal</w:t>
      </w:r>
      <w:proofErr w:type="gramEnd"/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relevant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processes are important contributors to cognitive control 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Miyake</w:t>
      </w:r>
      <w:r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2000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), these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ndings suggest </w:t>
      </w:r>
      <w:r>
        <w:rPr>
          <w:rFonts w:asciiTheme="majorHAnsi" w:hAnsiTheme="majorHAnsi"/>
          <w:sz w:val="22"/>
          <w:szCs w:val="22"/>
          <w:lang w:val="en-US"/>
        </w:rPr>
        <w:t>t</w:t>
      </w:r>
      <w:r w:rsidRPr="0026514A">
        <w:rPr>
          <w:rFonts w:asciiTheme="majorHAnsi" w:hAnsiTheme="majorHAnsi"/>
          <w:sz w:val="22"/>
          <w:szCs w:val="22"/>
          <w:lang w:val="en-US"/>
        </w:rPr>
        <w:t>hat theta oscillations may be a neural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signature of goal-directed processes.</w:t>
      </w:r>
    </w:p>
    <w:p w:rsidR="0026514A" w:rsidRPr="0026514A" w:rsidRDefault="0026514A" w:rsidP="0026514A">
      <w:pPr>
        <w:spacing w:line="360" w:lineRule="auto"/>
        <w:ind w:firstLine="72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Interestingly, the role of theta in cognitive control has been investigated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almost exclusively using paradigms that do not di</w:t>
      </w:r>
      <w:r>
        <w:rPr>
          <w:rFonts w:asciiTheme="majorHAnsi" w:hAnsiTheme="majorHAnsi"/>
          <w:sz w:val="22"/>
          <w:szCs w:val="22"/>
          <w:lang w:val="en-US"/>
        </w:rPr>
        <w:t>ff</w:t>
      </w:r>
      <w:r w:rsidRPr="0026514A">
        <w:rPr>
          <w:rFonts w:asciiTheme="majorHAnsi" w:hAnsiTheme="majorHAnsi"/>
          <w:sz w:val="22"/>
          <w:szCs w:val="22"/>
          <w:lang w:val="en-US"/>
        </w:rPr>
        <w:t>erentiate between proactive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and reactive </w:t>
      </w:r>
      <w:r>
        <w:rPr>
          <w:rFonts w:asciiTheme="majorHAnsi" w:hAnsiTheme="majorHAnsi"/>
          <w:sz w:val="22"/>
          <w:szCs w:val="22"/>
          <w:lang w:val="en-US"/>
        </w:rPr>
        <w:t>c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ontrol. For example,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Sauseng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and colleagues reported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widespread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frontoparietal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coherence in the theta band when participants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switched randomly between digit magnitude and digit classi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cation tasks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compared to repeating one of these tasks (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Sauseng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2006</w:t>
      </w:r>
      <w:r w:rsidRPr="0026514A">
        <w:rPr>
          <w:rFonts w:asciiTheme="majorHAnsi" w:hAnsiTheme="majorHAnsi"/>
          <w:sz w:val="22"/>
          <w:szCs w:val="22"/>
          <w:lang w:val="en-US"/>
        </w:rPr>
        <w:t>). Here, there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was no advance information about whether the upcoming trial would require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a switch or a repeat in task. Instead, the stimulus had to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rst be encoded to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decide which task needed to be implemented (e.g., repeat the same task or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change to alternative task) and secondly to implement that task in the presence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of competing information (e.g., respond smaller/greater than 5, ignore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parity). Likewise, when participants were searching for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 speci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rule (i.e.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the presentation of four odd digits)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frontoparietal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theta connectivity was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observed during each instance that this rule was not met (i.e. goal con</w:t>
      </w:r>
      <w:r>
        <w:rPr>
          <w:rFonts w:asciiTheme="majorHAnsi" w:hAnsiTheme="majorHAnsi"/>
          <w:sz w:val="22"/>
          <w:szCs w:val="22"/>
          <w:lang w:val="en-US"/>
        </w:rPr>
        <w:t>fl</w:t>
      </w:r>
      <w:r w:rsidRPr="0026514A">
        <w:rPr>
          <w:rFonts w:asciiTheme="majorHAnsi" w:hAnsiTheme="majorHAnsi"/>
          <w:sz w:val="22"/>
          <w:szCs w:val="22"/>
          <w:lang w:val="en-US"/>
        </w:rPr>
        <w:t>ict)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as well as correct detection - response selection 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Moore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2006</w:t>
      </w:r>
      <w:r w:rsidRPr="0026514A">
        <w:rPr>
          <w:rFonts w:asciiTheme="majorHAnsi" w:hAnsiTheme="majorHAnsi"/>
          <w:sz w:val="22"/>
          <w:szCs w:val="22"/>
          <w:lang w:val="en-US"/>
        </w:rPr>
        <w:t>). Other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studies investigating the role of theta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in cognitive control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have also used paradigms that do not di</w:t>
      </w:r>
      <w:r>
        <w:rPr>
          <w:rFonts w:asciiTheme="majorHAnsi" w:hAnsiTheme="majorHAnsi"/>
          <w:sz w:val="22"/>
          <w:szCs w:val="22"/>
          <w:lang w:val="en-US"/>
        </w:rPr>
        <w:t>ff</w:t>
      </w:r>
      <w:r w:rsidRPr="0026514A">
        <w:rPr>
          <w:rFonts w:asciiTheme="majorHAnsi" w:hAnsiTheme="majorHAnsi"/>
          <w:sz w:val="22"/>
          <w:szCs w:val="22"/>
          <w:lang w:val="en-US"/>
        </w:rPr>
        <w:t>erentiate between proactive and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reactive control (e.g., Flanker tasks in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Cavanagh et al. 2009</w:t>
      </w:r>
      <w:r w:rsidRPr="0026514A">
        <w:rPr>
          <w:rFonts w:asciiTheme="majorHAnsi" w:hAnsiTheme="majorHAnsi"/>
          <w:sz w:val="22"/>
          <w:szCs w:val="22"/>
          <w:lang w:val="en-US"/>
        </w:rPr>
        <w:t>).</w:t>
      </w:r>
    </w:p>
    <w:p w:rsidR="0026514A" w:rsidRPr="0026514A" w:rsidRDefault="0026514A" w:rsidP="0026514A">
      <w:pPr>
        <w:spacing w:line="360" w:lineRule="auto"/>
        <w:ind w:firstLine="72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In fact, studies that have speci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cally targeted proactive control, by examining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electrophysiological activity in the cue-target interval, i.e., the interval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between an informative cue to switch or repeat task and the subsequent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target, have shown changes not in theta, but in alpha (8-13Hz) power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Mans</w:t>
      </w:r>
      <w:r>
        <w:rPr>
          <w:rFonts w:asciiTheme="majorHAnsi" w:hAnsiTheme="majorHAnsi"/>
          <w:color w:val="0000FF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eld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2012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) and oscillatory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(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Serrien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2004</w:t>
      </w:r>
      <w:r w:rsidRPr="0026514A">
        <w:rPr>
          <w:rFonts w:asciiTheme="majorHAnsi" w:hAnsiTheme="majorHAnsi"/>
          <w:sz w:val="22"/>
          <w:szCs w:val="22"/>
          <w:lang w:val="en-US"/>
        </w:rPr>
        <w:t>).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Together, these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ndings suggest that proactive and reactive cognitive control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modes may involve distinct neural processes. As functionally relevant neural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coupling often occurs between frequencies 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Jensen and 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Colgin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2007</w:t>
      </w:r>
      <w:r w:rsidRPr="0026514A">
        <w:rPr>
          <w:rFonts w:asciiTheme="majorHAnsi" w:hAnsiTheme="majorHAnsi"/>
          <w:sz w:val="22"/>
          <w:szCs w:val="22"/>
          <w:lang w:val="en-US"/>
        </w:rPr>
        <w:t>), perhaps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the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frontoparietal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control architecture dynamically shifts between theta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and alpha oscillatory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depending on contextual demands.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The current study aimed to investigate the potential mechanistic dissociation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between proactive and reactive control via alpha and theta oscillatory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respectively. To do so, we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utilised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a cued-trials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task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switching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paradigm where we manipulated the ability to prepare for a repeat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or switch between simple classi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cation tasks (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Karayanidis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 2009</w:t>
      </w:r>
      <w:r w:rsidRPr="0026514A">
        <w:rPr>
          <w:rFonts w:asciiTheme="majorHAnsi" w:hAnsiTheme="majorHAnsi"/>
          <w:sz w:val="22"/>
          <w:szCs w:val="22"/>
          <w:lang w:val="en-US"/>
        </w:rPr>
        <w:t>;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see Methods). This manipulation allowed us to disentangle proactive, reactive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and switch-related processes to explore the role of alpha and theta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oscillatory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in cognitive control. Based on this separation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of control processes, if theta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is associated with switching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(cf. 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Sauseng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 2006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) then we expect to see increases in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frontoparietal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coherence during switch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aniticpatory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processes and/or target-based switch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processes speci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cally. However, if theta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is an index of reactive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control, extensive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frontoparietal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connectivity should occur only after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target onset in those conditions advance preparation was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insu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cient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for.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Given previous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ndings suggestive of a role of alpha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oscillatiory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activity in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switch preparation, we also expect to see the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frontoparietal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network </w:t>
      </w:r>
      <w:r>
        <w:rPr>
          <w:rFonts w:asciiTheme="majorHAnsi" w:hAnsiTheme="majorHAnsi"/>
          <w:sz w:val="22"/>
          <w:szCs w:val="22"/>
          <w:lang w:val="en-US"/>
        </w:rPr>
        <w:t xml:space="preserve">utilize </w:t>
      </w:r>
      <w:r w:rsidRPr="0026514A">
        <w:rPr>
          <w:rFonts w:asciiTheme="majorHAnsi" w:hAnsiTheme="majorHAnsi"/>
          <w:sz w:val="22"/>
          <w:szCs w:val="22"/>
          <w:lang w:val="en-US"/>
        </w:rPr>
        <w:t>alpha frequencies when preparing for any switch in task rather than a task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repeat.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b/>
          <w:sz w:val="22"/>
          <w:szCs w:val="22"/>
          <w:lang w:val="en-US"/>
        </w:rPr>
      </w:pPr>
      <w:r w:rsidRPr="0026514A">
        <w:rPr>
          <w:rFonts w:asciiTheme="majorHAnsi" w:hAnsiTheme="majorHAnsi"/>
          <w:b/>
          <w:sz w:val="22"/>
          <w:szCs w:val="22"/>
          <w:lang w:val="en-US"/>
        </w:rPr>
        <w:t>2. Methods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i/>
          <w:sz w:val="22"/>
          <w:szCs w:val="22"/>
          <w:lang w:val="en-US"/>
        </w:rPr>
      </w:pPr>
      <w:r w:rsidRPr="0026514A">
        <w:rPr>
          <w:rFonts w:asciiTheme="majorHAnsi" w:hAnsiTheme="majorHAnsi"/>
          <w:i/>
          <w:sz w:val="22"/>
          <w:szCs w:val="22"/>
          <w:lang w:val="en-US"/>
        </w:rPr>
        <w:t>2.1. Participants</w:t>
      </w:r>
    </w:p>
    <w:p w:rsidR="0026514A" w:rsidRPr="0026514A" w:rsidRDefault="0026514A" w:rsidP="0026514A">
      <w:pPr>
        <w:spacing w:line="360" w:lineRule="auto"/>
        <w:ind w:firstLine="720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Twenty-nine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(13 male, mean age 25.69 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5.64 years) young adults from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the Newcastle community took part in the current study as part of a larger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project 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http://www.age-ility.org.au</w:t>
      </w:r>
      <w:r w:rsidRPr="0026514A">
        <w:rPr>
          <w:rFonts w:asciiTheme="majorHAnsi" w:hAnsiTheme="majorHAnsi"/>
          <w:sz w:val="22"/>
          <w:szCs w:val="22"/>
          <w:lang w:val="en-US"/>
        </w:rPr>
        <w:t>) and received $20 per hour reimbursement.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All participants were asked to abstain from ca</w:t>
      </w:r>
      <w:r>
        <w:rPr>
          <w:rFonts w:asciiTheme="majorHAnsi" w:hAnsiTheme="majorHAnsi"/>
          <w:sz w:val="22"/>
          <w:szCs w:val="22"/>
          <w:lang w:val="en-US"/>
        </w:rPr>
        <w:t>ffe</w:t>
      </w:r>
      <w:r w:rsidRPr="0026514A">
        <w:rPr>
          <w:rFonts w:asciiTheme="majorHAnsi" w:hAnsiTheme="majorHAnsi"/>
          <w:sz w:val="22"/>
          <w:szCs w:val="22"/>
          <w:lang w:val="en-US"/>
        </w:rPr>
        <w:t>ine and alcohol prior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to testing, were right-handed and had no current neurological or psychiatric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disorder. The University of Newcastle Humans Ethics Research Committee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approved the current study.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i/>
          <w:sz w:val="22"/>
          <w:szCs w:val="22"/>
          <w:lang w:val="en-US"/>
        </w:rPr>
      </w:pPr>
      <w:r w:rsidRPr="0026514A">
        <w:rPr>
          <w:rFonts w:asciiTheme="majorHAnsi" w:hAnsiTheme="majorHAnsi"/>
          <w:i/>
          <w:sz w:val="22"/>
          <w:szCs w:val="22"/>
          <w:lang w:val="en-US"/>
        </w:rPr>
        <w:t>2.2. Stimuli and Task</w:t>
      </w:r>
    </w:p>
    <w:p w:rsidR="0026514A" w:rsidRPr="0026514A" w:rsidRDefault="0026514A" w:rsidP="00D37DB6">
      <w:pPr>
        <w:spacing w:line="360" w:lineRule="auto"/>
        <w:ind w:firstLine="72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To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characterise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proactive and reactive control networks, we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utilised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a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cued-task switching paradigm containing task-repetition and task-set changes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with varying degrees of preparation. A grey wheel (5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 diameter) was presented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continuously with six equal-sized segments. Two adjacent segments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were considered a major sub-division of the wheel and were associated with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one of three classi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cation tasks: a letter classi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cation task (vowel/consonant),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 digit classi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cation task (odd/even) and a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colour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classi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cation task (hot/cold;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see Figure 1). Participants were presented a bivalent target in one of the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two segments associated with the task and were instructed to classify the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task-relevant features using a left or right button press. Targets contained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one task-relevant dimension (e.g. for the letter task, the vowel 'A'), one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incongruently response-mapped feature (e.g. an even digit '4') and a third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neutral feature (e.g. a grey target 'A4'). The same target could not appear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on successive trials, the same trial type could not be repeated more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than four consecutive times and response mappings were counterbalanced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between participants (Figure 1).</w:t>
      </w:r>
    </w:p>
    <w:p w:rsidR="0026514A" w:rsidRPr="0026514A" w:rsidRDefault="0026514A" w:rsidP="00D37DB6">
      <w:pPr>
        <w:spacing w:line="360" w:lineRule="auto"/>
        <w:ind w:firstLine="72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To assist in preparing for the upcoming target, two adjacent segments of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the wheel were bolded for 1000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prior to target onset, with the target appearing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in one of the two cued sections. If the cue highlighted two segments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that exclusively belonged to only one of the three classi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cation tasks, these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cues were considered to be informative. An informative cue could indicate a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repetition of a task, a repeat trial or a change in task, a switch-to trial. If the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two cued segments overlapped with more than one classi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cation task (e.g. a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section belonging to the digit and a section belonging to the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colour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task were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highlighted) then complete preparation for the upcoming target was unable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to occur. If the two sections cued were from tasks that were not completed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on the previous trial, this indicated a change in task-set but not the identity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of the task - a switch-away trial. On these trials, switch but not task-set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recon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guration processes could occur. Alternatively, if the sections cued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were from both the previous trial's task and another classi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cation task, no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maintenance, switch or task-set anticipation could occur and so these trials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were deemed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noninformative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 Taken together, proactive control was able to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be employed for repeat and switch-to trials; switch-away and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noninformative</w:t>
      </w:r>
      <w:proofErr w:type="spellEnd"/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classi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cation relied on reactive control and switch-to and switch-away trials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re</w:t>
      </w:r>
      <w:r w:rsidR="00D37DB6">
        <w:rPr>
          <w:rFonts w:asciiTheme="majorHAnsi" w:hAnsiTheme="majorHAnsi"/>
          <w:sz w:val="22"/>
          <w:szCs w:val="22"/>
          <w:lang w:val="en-US"/>
        </w:rPr>
        <w:t>fl</w:t>
      </w:r>
      <w:r w:rsidRPr="0026514A">
        <w:rPr>
          <w:rFonts w:asciiTheme="majorHAnsi" w:hAnsiTheme="majorHAnsi"/>
          <w:sz w:val="22"/>
          <w:szCs w:val="22"/>
          <w:lang w:val="en-US"/>
        </w:rPr>
        <w:t>ected varying degrees of informative switching processes.</w:t>
      </w:r>
    </w:p>
    <w:p w:rsidR="0026514A" w:rsidRPr="00D37DB6" w:rsidRDefault="0026514A" w:rsidP="0026514A">
      <w:pPr>
        <w:spacing w:line="360" w:lineRule="auto"/>
        <w:outlineLvl w:val="0"/>
        <w:rPr>
          <w:rFonts w:asciiTheme="majorHAnsi" w:hAnsiTheme="majorHAnsi"/>
          <w:i/>
          <w:sz w:val="22"/>
          <w:szCs w:val="22"/>
          <w:lang w:val="en-US"/>
        </w:rPr>
      </w:pPr>
      <w:r w:rsidRPr="00D37DB6">
        <w:rPr>
          <w:rFonts w:asciiTheme="majorHAnsi" w:hAnsiTheme="majorHAnsi"/>
          <w:i/>
          <w:sz w:val="22"/>
          <w:szCs w:val="22"/>
          <w:lang w:val="en-US"/>
        </w:rPr>
        <w:t>2.3. Procedure and EEG Recording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Prior to the experimental session participants learnt and practiced both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single-task and switching blocks over two training sessions, one on initial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contact and one prior to the EEG recording comprising 1320 practice trials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total. Initial task learning </w:t>
      </w:r>
      <w:r w:rsidR="00D37DB6" w:rsidRPr="0026514A">
        <w:rPr>
          <w:rFonts w:asciiTheme="majorHAnsi" w:hAnsiTheme="majorHAnsi"/>
          <w:sz w:val="22"/>
          <w:szCs w:val="22"/>
          <w:lang w:val="en-US"/>
        </w:rPr>
        <w:t>occurred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 no more than 14 days before the experimental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session. For the experimental session, participants performed ten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mixed task blocks and three single task blocks, in a dimmed testing room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with simultaneous EEG recorded. Mixed task blocks comprised 72 trials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(plus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ve dummy trials) and single task blocks 48 trials (plus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ve dummy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trials). For each trial a cue was presented for 1000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which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disappeared at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target onset where the target remained until response (or a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ve second timeout).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A 600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interval was inserted between response and the next cue.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Error feedback was provided to participants via a tone. Reaction times and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accuracy for each block were presented during inter-block feedback alongside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 brief entertaining video. These breaks were semi-self paced, with participants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informing the experimenter when they were ready to proceed to the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next block. This was done to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minimise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fatigue e</w:t>
      </w:r>
      <w:r>
        <w:rPr>
          <w:rFonts w:asciiTheme="majorHAnsi" w:hAnsiTheme="majorHAnsi"/>
          <w:sz w:val="22"/>
          <w:szCs w:val="22"/>
          <w:lang w:val="en-US"/>
        </w:rPr>
        <w:t>f</w:t>
      </w:r>
      <w:r w:rsidR="00D37DB6">
        <w:rPr>
          <w:rFonts w:asciiTheme="majorHAnsi" w:hAnsiTheme="majorHAnsi"/>
          <w:sz w:val="22"/>
          <w:szCs w:val="22"/>
          <w:lang w:val="en-US"/>
        </w:rPr>
        <w:t>f</w:t>
      </w:r>
      <w:r w:rsidRPr="0026514A">
        <w:rPr>
          <w:rFonts w:asciiTheme="majorHAnsi" w:hAnsiTheme="majorHAnsi"/>
          <w:sz w:val="22"/>
          <w:szCs w:val="22"/>
          <w:lang w:val="en-US"/>
        </w:rPr>
        <w:t>ects.</w:t>
      </w:r>
    </w:p>
    <w:p w:rsidR="0026514A" w:rsidRPr="0026514A" w:rsidRDefault="0026514A" w:rsidP="00D37DB6">
      <w:pPr>
        <w:spacing w:line="360" w:lineRule="auto"/>
        <w:ind w:firstLine="72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EEG was recorded continuously at a sampling rate of 2,048 Hz from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64 scalp electrodes and eight external leads (two outer canthi of the eyes,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two supraorbital, two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infraorbital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and left and right mastoids) using an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ActiveTwo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Biosemi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EEG system. Data was recorded with reference to the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common mode signal (CMS) and right driven leg (DRL) electrodes.</w:t>
      </w:r>
    </w:p>
    <w:p w:rsidR="0026514A" w:rsidRPr="00D37DB6" w:rsidRDefault="0026514A" w:rsidP="0026514A">
      <w:pPr>
        <w:spacing w:line="360" w:lineRule="auto"/>
        <w:outlineLvl w:val="0"/>
        <w:rPr>
          <w:rFonts w:asciiTheme="majorHAnsi" w:hAnsiTheme="majorHAnsi"/>
          <w:i/>
          <w:sz w:val="22"/>
          <w:szCs w:val="22"/>
          <w:lang w:val="en-US"/>
        </w:rPr>
      </w:pPr>
      <w:r w:rsidRPr="00D37DB6">
        <w:rPr>
          <w:rFonts w:asciiTheme="majorHAnsi" w:hAnsiTheme="majorHAnsi"/>
          <w:i/>
          <w:sz w:val="22"/>
          <w:szCs w:val="22"/>
          <w:lang w:val="en-US"/>
        </w:rPr>
        <w:t>2.4. Data Analysis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Behavioural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and EEG data were processed o</w:t>
      </w:r>
      <w:r>
        <w:rPr>
          <w:rFonts w:asciiTheme="majorHAnsi" w:hAnsiTheme="majorHAnsi"/>
          <w:sz w:val="22"/>
          <w:szCs w:val="22"/>
          <w:lang w:val="en-US"/>
        </w:rPr>
        <w:t>f</w:t>
      </w:r>
      <w:r w:rsidR="00D37DB6">
        <w:rPr>
          <w:rFonts w:asciiTheme="majorHAnsi" w:hAnsiTheme="majorHAnsi"/>
          <w:sz w:val="22"/>
          <w:szCs w:val="22"/>
          <w:lang w:val="en-US"/>
        </w:rPr>
        <w:t>fl</w:t>
      </w:r>
      <w:r w:rsidRPr="0026514A">
        <w:rPr>
          <w:rFonts w:asciiTheme="majorHAnsi" w:hAnsiTheme="majorHAnsi"/>
          <w:sz w:val="22"/>
          <w:szCs w:val="22"/>
          <w:lang w:val="en-US"/>
        </w:rPr>
        <w:t>ine. Responses faster than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200ms or slower than three standard deviations from each individual's mean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RT were excluded from analyses. Post-error trials and those with unsuitable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noise levels (see below) were additionally excluded from EEG analyses.</w:t>
      </w:r>
    </w:p>
    <w:p w:rsidR="0026514A" w:rsidRPr="00D37DB6" w:rsidRDefault="0026514A" w:rsidP="0026514A">
      <w:pPr>
        <w:spacing w:line="360" w:lineRule="auto"/>
        <w:outlineLvl w:val="0"/>
        <w:rPr>
          <w:rFonts w:asciiTheme="majorHAnsi" w:hAnsiTheme="majorHAnsi"/>
          <w:i/>
          <w:sz w:val="22"/>
          <w:szCs w:val="22"/>
          <w:lang w:val="en-US"/>
        </w:rPr>
      </w:pPr>
      <w:r w:rsidRPr="00D37DB6">
        <w:rPr>
          <w:rFonts w:asciiTheme="majorHAnsi" w:hAnsiTheme="majorHAnsi"/>
          <w:i/>
          <w:sz w:val="22"/>
          <w:szCs w:val="22"/>
          <w:lang w:val="en-US"/>
        </w:rPr>
        <w:t>2.5. EEG Analysis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EEG data were processed using MATLAB 2011b (The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Mathworks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Inc.)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through a custom-built pipeline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utilising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Fieldtrip (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Oostenveld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2011</w:t>
      </w:r>
      <w:r w:rsidRPr="0026514A">
        <w:rPr>
          <w:rFonts w:asciiTheme="majorHAnsi" w:hAnsiTheme="majorHAnsi"/>
          <w:sz w:val="22"/>
          <w:szCs w:val="22"/>
          <w:lang w:val="en-US"/>
        </w:rPr>
        <w:t>),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EEGLab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Delorme and 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Makeig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2004</w:t>
      </w:r>
      <w:r w:rsidRPr="0026514A">
        <w:rPr>
          <w:rFonts w:asciiTheme="majorHAnsi" w:hAnsiTheme="majorHAnsi"/>
          <w:sz w:val="22"/>
          <w:szCs w:val="22"/>
          <w:lang w:val="en-US"/>
        </w:rPr>
        <w:t>) and in-house functions (see Figure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2). EEG data were initially read into Fieldtrip, using a common average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reference and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ltered (high pass: 0.1Hz, forward phase, 50Hz notch, zero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phase). Data were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visualised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for noisy channels and if any were detected,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interpolated using a k nearest-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neighbour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approach. Trials (repeat, switch-to, switch-away,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noninformative</w:t>
      </w:r>
      <w:proofErr w:type="spellEnd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) 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w</w:t>
      </w:r>
      <w:r w:rsidRPr="0026514A">
        <w:rPr>
          <w:rFonts w:asciiTheme="majorHAnsi" w:hAnsiTheme="majorHAnsi"/>
          <w:sz w:val="22"/>
          <w:szCs w:val="22"/>
          <w:lang w:val="en-US"/>
        </w:rPr>
        <w:t>ere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de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ned with respect to cue onset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(from -1,000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to +3,500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). Independent components analysis (ICA)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was performed to remove EOG-related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artefact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using the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fastica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function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(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Hyvarinen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&amp;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Oja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2000). Before ICA was ran, trials were inspected and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removed if their variance suggested they were an outlier, they had a value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of over 1,000 </w:t>
      </w:r>
      <w:proofErr w:type="spellStart"/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V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or a z-value 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&gt;</w:t>
      </w:r>
      <w:r w:rsidRPr="0026514A">
        <w:rPr>
          <w:rFonts w:asciiTheme="majorHAnsi" w:hAnsiTheme="majorHAnsi"/>
          <w:sz w:val="22"/>
          <w:szCs w:val="22"/>
          <w:lang w:val="en-US"/>
        </w:rPr>
        <w:t>4, in an attempt to make the strongest ICA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derived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compone</w:t>
      </w:r>
      <w:r w:rsidR="00D37DB6">
        <w:rPr>
          <w:rFonts w:asciiTheme="majorHAnsi" w:hAnsiTheme="majorHAnsi"/>
          <w:sz w:val="22"/>
          <w:szCs w:val="22"/>
          <w:lang w:val="en-US"/>
        </w:rPr>
        <w:t>n</w:t>
      </w:r>
      <w:r w:rsidRPr="0026514A">
        <w:rPr>
          <w:rFonts w:asciiTheme="majorHAnsi" w:hAnsiTheme="majorHAnsi"/>
          <w:sz w:val="22"/>
          <w:szCs w:val="22"/>
          <w:lang w:val="en-US"/>
        </w:rPr>
        <w:t>ts EOG-related. After EOG signals were removed from the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data, trials underwent a second phase of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artefact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rejection where they were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ltered with a low pass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lter of 30Hz to remove remaining EKG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artefacts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trials larger than 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100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V automatically removed and a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nal inspection of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trial variance to remove any remaining outliers. This approach typically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resulted in 6% (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9.1 SD) of trials removed. Finally, as coherence analyses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were undertaken at sensor space, trials were transformed using scalp surface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Laplacian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estimates or current source density (CSD). CSD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minimises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volume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conduction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ects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at EEG sensor space by removing large common signals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across sites (spatial autocorrelation). Additionally, CSD is a reference-free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montage which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eliminates arti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cial coherence between electrodes due to a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shared reference site(s) across sensors, providing a more sensitive connectivity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measure that is relatively unin</w:t>
      </w:r>
      <w:r w:rsidR="00D37DB6">
        <w:rPr>
          <w:rFonts w:asciiTheme="majorHAnsi" w:hAnsiTheme="majorHAnsi"/>
          <w:sz w:val="22"/>
          <w:szCs w:val="22"/>
          <w:lang w:val="en-US"/>
        </w:rPr>
        <w:t>fl</w:t>
      </w:r>
      <w:r w:rsidRPr="0026514A">
        <w:rPr>
          <w:rFonts w:asciiTheme="majorHAnsi" w:hAnsiTheme="majorHAnsi"/>
          <w:sz w:val="22"/>
          <w:szCs w:val="22"/>
          <w:lang w:val="en-US"/>
        </w:rPr>
        <w:t>uen</w:t>
      </w:r>
      <w:r w:rsidR="00D37DB6">
        <w:rPr>
          <w:rFonts w:asciiTheme="majorHAnsi" w:hAnsiTheme="majorHAnsi"/>
          <w:sz w:val="22"/>
          <w:szCs w:val="22"/>
          <w:lang w:val="en-US"/>
        </w:rPr>
        <w:t>c</w:t>
      </w:r>
      <w:r w:rsidRPr="0026514A">
        <w:rPr>
          <w:rFonts w:asciiTheme="majorHAnsi" w:hAnsiTheme="majorHAnsi"/>
          <w:sz w:val="22"/>
          <w:szCs w:val="22"/>
          <w:lang w:val="en-US"/>
        </w:rPr>
        <w:t>ed by common sources and reference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montage problems.</w:t>
      </w:r>
    </w:p>
    <w:p w:rsidR="0026514A" w:rsidRPr="00D37DB6" w:rsidRDefault="0026514A" w:rsidP="0026514A">
      <w:pPr>
        <w:spacing w:line="360" w:lineRule="auto"/>
        <w:outlineLvl w:val="0"/>
        <w:rPr>
          <w:rFonts w:asciiTheme="majorHAnsi" w:hAnsiTheme="majorHAnsi"/>
          <w:i/>
          <w:sz w:val="22"/>
          <w:szCs w:val="22"/>
          <w:lang w:val="en-US"/>
        </w:rPr>
      </w:pPr>
      <w:r w:rsidRPr="00D37DB6">
        <w:rPr>
          <w:rFonts w:asciiTheme="majorHAnsi" w:hAnsiTheme="majorHAnsi"/>
          <w:i/>
          <w:sz w:val="22"/>
          <w:szCs w:val="22"/>
          <w:lang w:val="en-US"/>
        </w:rPr>
        <w:t>2.5.1. Power Analysis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The power for each condition was calculated by transforming single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trial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data into its time-frequency representation. To do so, we multiplied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the power spectrum derived from a fast-Fourier transform (FFT), where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frequencies were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analysed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across 80 logarithmically-spaced frequency bins,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ranging from 2 Hz to 50 Hz, and time from 400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pre-cue to 2,200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post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cue, by the power spectrum of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Morlet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wavelets: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b/>
          <w:bCs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ei</w:t>
      </w:r>
      <w:r w:rsidRPr="0026514A">
        <w:rPr>
          <w:rFonts w:asciiTheme="majorHAnsi" w:hAnsiTheme="majorHAnsi"/>
          <w:sz w:val="22"/>
          <w:szCs w:val="22"/>
          <w:lang w:val="en-US"/>
        </w:rPr>
        <w:t>2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f</w:t>
      </w:r>
      <w:proofErr w:type="gramEnd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 xml:space="preserve"> e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􀀀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t</w:t>
      </w:r>
      <w:r w:rsidRPr="0026514A">
        <w:rPr>
          <w:rFonts w:asciiTheme="majorHAnsi" w:hAnsiTheme="majorHAnsi"/>
          <w:sz w:val="22"/>
          <w:szCs w:val="22"/>
          <w:lang w:val="en-US"/>
        </w:rPr>
        <w:t>2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(2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2) (1)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where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f = the current frequency, t = time and 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= the width of each frequency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band (n/(2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f )), n increases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logairthmaicllay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from 3 to 14 with respect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to f. An inverse FFT (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iFFT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) was performed on the output of the above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steps. The output of the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iFFT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for each trial was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normalised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with a decibel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transformation (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normalised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power = 10*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log10[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power/baseline] ) where baseline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referred to the average activity from 200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pre-cue to cue onset.</w:t>
      </w:r>
    </w:p>
    <w:p w:rsidR="0026514A" w:rsidRPr="00D37DB6" w:rsidRDefault="0026514A" w:rsidP="0026514A">
      <w:pPr>
        <w:spacing w:line="360" w:lineRule="auto"/>
        <w:outlineLvl w:val="0"/>
        <w:rPr>
          <w:rFonts w:asciiTheme="majorHAnsi" w:hAnsiTheme="majorHAnsi"/>
          <w:i/>
          <w:sz w:val="22"/>
          <w:szCs w:val="22"/>
          <w:lang w:val="en-US"/>
        </w:rPr>
      </w:pPr>
      <w:r w:rsidRPr="00D37DB6">
        <w:rPr>
          <w:rFonts w:asciiTheme="majorHAnsi" w:hAnsiTheme="majorHAnsi"/>
          <w:i/>
          <w:sz w:val="22"/>
          <w:szCs w:val="22"/>
          <w:lang w:val="en-US"/>
        </w:rPr>
        <w:t>2.5.2. Coherence Analysis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We used imaginary coherence as our measure of oscillatory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Coherence refers to the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normalised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cross-spectral correlation between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two time series, containing information relating to a) the absolute magnitude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of the relationship and b) the complex component representing phase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information. If we look solely at the complex component of coherence, we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can explore phase coupling between two time series. As phase information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is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not sensitive to volume conduction </w:t>
      </w:r>
      <w:r w:rsidR="00D37DB6" w:rsidRPr="0026514A">
        <w:rPr>
          <w:rFonts w:asciiTheme="majorHAnsi" w:hAnsiTheme="majorHAnsi"/>
          <w:sz w:val="22"/>
          <w:szCs w:val="22"/>
          <w:lang w:val="en-US"/>
        </w:rPr>
        <w:t>e</w:t>
      </w:r>
      <w:r w:rsidR="00D37DB6">
        <w:rPr>
          <w:rFonts w:asciiTheme="majorHAnsi" w:hAnsiTheme="majorHAnsi"/>
          <w:sz w:val="22"/>
          <w:szCs w:val="22"/>
          <w:lang w:val="en-US"/>
        </w:rPr>
        <w:t>ff</w:t>
      </w:r>
      <w:r w:rsidR="00D37DB6" w:rsidRPr="0026514A">
        <w:rPr>
          <w:rFonts w:asciiTheme="majorHAnsi" w:hAnsiTheme="majorHAnsi"/>
          <w:sz w:val="22"/>
          <w:szCs w:val="22"/>
          <w:lang w:val="en-US"/>
        </w:rPr>
        <w:t>ects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 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Nolte et al.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2004</w:t>
      </w:r>
      <w:r w:rsidRPr="0026514A">
        <w:rPr>
          <w:rFonts w:asciiTheme="majorHAnsi" w:hAnsiTheme="majorHAnsi"/>
          <w:sz w:val="22"/>
          <w:szCs w:val="22"/>
          <w:lang w:val="en-US"/>
        </w:rPr>
        <w:t>), we can use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this information to explore neural interactions con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dently at sensor space.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Imaginary coherence was calculated by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rst computing the cross-spectral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power density between each pair of electrodes (</w:t>
      </w:r>
      <w:proofErr w:type="spellStart"/>
      <w:proofErr w:type="gramStart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Sij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(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f )) for each time point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across the 80 frequency bins. We then divided the derived power by the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the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cross-spectral power for each pair of electrodes to compute imaginary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coherence, using the following expression: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Cij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(</w:t>
      </w:r>
      <w:proofErr w:type="gramEnd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f</w:t>
      </w:r>
      <w:r w:rsidRPr="0026514A">
        <w:rPr>
          <w:rFonts w:asciiTheme="majorHAnsi" w:hAnsiTheme="majorHAnsi"/>
          <w:sz w:val="22"/>
          <w:szCs w:val="22"/>
          <w:lang w:val="en-US"/>
        </w:rPr>
        <w:t>) =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Sij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(</w:t>
      </w:r>
      <w:proofErr w:type="gramEnd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f</w:t>
      </w:r>
      <w:r w:rsidRPr="0026514A">
        <w:rPr>
          <w:rFonts w:asciiTheme="majorHAnsi" w:hAnsiTheme="majorHAnsi"/>
          <w:sz w:val="22"/>
          <w:szCs w:val="22"/>
          <w:lang w:val="en-US"/>
        </w:rPr>
        <w:t>)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(</w:t>
      </w:r>
      <w:proofErr w:type="spellStart"/>
      <w:proofErr w:type="gramStart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Sii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(</w:t>
      </w:r>
      <w:proofErr w:type="gramEnd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f</w:t>
      </w:r>
      <w:r w:rsidRPr="0026514A">
        <w:rPr>
          <w:rFonts w:asciiTheme="majorHAnsi" w:hAnsiTheme="majorHAnsi"/>
          <w:sz w:val="22"/>
          <w:szCs w:val="22"/>
          <w:lang w:val="en-US"/>
        </w:rPr>
        <w:t>)</w:t>
      </w:r>
      <w:proofErr w:type="spellStart"/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Sjj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(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f</w:t>
      </w:r>
      <w:r w:rsidRPr="0026514A">
        <w:rPr>
          <w:rFonts w:asciiTheme="majorHAnsi" w:hAnsiTheme="majorHAnsi"/>
          <w:sz w:val="22"/>
          <w:szCs w:val="22"/>
          <w:lang w:val="en-US"/>
        </w:rPr>
        <w:t>))1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=</w:t>
      </w:r>
      <w:r w:rsidRPr="0026514A">
        <w:rPr>
          <w:rFonts w:asciiTheme="majorHAnsi" w:hAnsiTheme="majorHAnsi"/>
          <w:sz w:val="22"/>
          <w:szCs w:val="22"/>
          <w:lang w:val="en-US"/>
        </w:rPr>
        <w:t>2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(2)</w:t>
      </w:r>
    </w:p>
    <w:p w:rsidR="00D37DB6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and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extracting the complex component.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</w:p>
    <w:p w:rsidR="0026514A" w:rsidRPr="0026514A" w:rsidRDefault="0026514A" w:rsidP="00D37DB6">
      <w:pPr>
        <w:spacing w:line="360" w:lineRule="auto"/>
        <w:ind w:firstLine="72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We then de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ned a connectivity matrix for frequencies delta (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; 2-4 Hz),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theta (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; 4-7 Hz),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loweralpha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(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1; 8-10 Hz),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upperalpha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(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2; 10-13 Hz)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and beta (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; 13-30 Hz) by averaging the imaginary coherence output across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the frequency band using a 100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sliding window (window size = 200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)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from cue onset to 600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post target. This resulted in 15 time ranges for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each frequency (5) and each condition (4). As CSD correction can produce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artefacts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at edge electrodes, our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nal connectivity matrices included only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those sites not on the cap peripherals (i.e. AF3, F1, F3, F5, AF4,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AFz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Fz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F2, F4, F6, FC5, FC3, FC1, FC6, FC4, FC2,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FCz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C1, C3, C5,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Cz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C2, C4, C6, CP5, CP3, CP1, CP6, CP4, CP2,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CPz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P1, P3, P5, P7,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Pz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P2, P4, P6, P8, PO7, PO3, O1, Oz,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POz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PO8, PO4 and O2). Finally,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as our paradigm lacked a pure baseline condition, we converted each connectivity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matrix into a </w:t>
      </w:r>
      <w:r w:rsidR="00D37DB6" w:rsidRPr="0026514A">
        <w:rPr>
          <w:rFonts w:asciiTheme="majorHAnsi" w:hAnsiTheme="majorHAnsi"/>
          <w:sz w:val="22"/>
          <w:szCs w:val="22"/>
          <w:lang w:val="en-US"/>
        </w:rPr>
        <w:t>di</w:t>
      </w:r>
      <w:r w:rsidR="00D37DB6">
        <w:rPr>
          <w:rFonts w:asciiTheme="majorHAnsi" w:hAnsiTheme="majorHAnsi"/>
          <w:sz w:val="22"/>
          <w:szCs w:val="22"/>
          <w:lang w:val="en-US"/>
        </w:rPr>
        <w:t>ff</w:t>
      </w:r>
      <w:r w:rsidR="00D37DB6" w:rsidRPr="0026514A">
        <w:rPr>
          <w:rFonts w:asciiTheme="majorHAnsi" w:hAnsiTheme="majorHAnsi"/>
          <w:sz w:val="22"/>
          <w:szCs w:val="22"/>
          <w:lang w:val="en-US"/>
        </w:rPr>
        <w:t>erence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 matrix which compared connectivity in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the current frequency*time*condition interaction to connectivity during the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current frequency*time*repeat condition.</w:t>
      </w:r>
    </w:p>
    <w:p w:rsidR="0026514A" w:rsidRPr="00D37DB6" w:rsidRDefault="0026514A" w:rsidP="0026514A">
      <w:pPr>
        <w:spacing w:line="360" w:lineRule="auto"/>
        <w:outlineLvl w:val="0"/>
        <w:rPr>
          <w:rFonts w:asciiTheme="majorHAnsi" w:hAnsiTheme="majorHAnsi"/>
          <w:i/>
          <w:sz w:val="22"/>
          <w:szCs w:val="22"/>
          <w:lang w:val="en-US"/>
        </w:rPr>
      </w:pPr>
      <w:r w:rsidRPr="00D37DB6">
        <w:rPr>
          <w:rFonts w:asciiTheme="majorHAnsi" w:hAnsiTheme="majorHAnsi"/>
          <w:i/>
          <w:sz w:val="22"/>
          <w:szCs w:val="22"/>
          <w:lang w:val="en-US"/>
        </w:rPr>
        <w:t>2.6. Statistical Analyses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Statistics on coherence results were performed using map-wise t -tests,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with </w:t>
      </w:r>
      <w:r w:rsidR="00547812" w:rsidRPr="0026514A">
        <w:rPr>
          <w:rFonts w:asciiTheme="majorHAnsi" w:hAnsiTheme="majorHAnsi"/>
          <w:sz w:val="22"/>
          <w:szCs w:val="22"/>
          <w:lang w:val="en-US"/>
        </w:rPr>
        <w:t>e</w:t>
      </w:r>
      <w:r w:rsidR="00547812">
        <w:rPr>
          <w:rFonts w:asciiTheme="majorHAnsi" w:hAnsiTheme="majorHAnsi"/>
          <w:sz w:val="22"/>
          <w:szCs w:val="22"/>
          <w:lang w:val="en-US"/>
        </w:rPr>
        <w:t>ff</w:t>
      </w:r>
      <w:r w:rsidR="00547812" w:rsidRPr="0026514A">
        <w:rPr>
          <w:rFonts w:asciiTheme="majorHAnsi" w:hAnsiTheme="majorHAnsi"/>
          <w:sz w:val="22"/>
          <w:szCs w:val="22"/>
          <w:lang w:val="en-US"/>
        </w:rPr>
        <w:t>ects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 considered statistically signi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cant using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false-discovery rate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(FDR) correction of p 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&lt;</w:t>
      </w:r>
      <w:r w:rsidRPr="0026514A">
        <w:rPr>
          <w:rFonts w:asciiTheme="majorHAnsi" w:hAnsiTheme="majorHAnsi"/>
          <w:sz w:val="22"/>
          <w:szCs w:val="22"/>
          <w:lang w:val="en-US"/>
        </w:rPr>
        <w:t>0.005 (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Benjamini</w:t>
      </w:r>
      <w:proofErr w:type="spellEnd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 and </w:t>
      </w:r>
      <w:proofErr w:type="spellStart"/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Yekutieli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2001</w:t>
      </w:r>
      <w:r w:rsidRPr="0026514A">
        <w:rPr>
          <w:rFonts w:asciiTheme="majorHAnsi" w:hAnsiTheme="majorHAnsi"/>
          <w:sz w:val="22"/>
          <w:szCs w:val="22"/>
          <w:lang w:val="en-US"/>
        </w:rPr>
        <w:t>), following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the multiple comparison correction guidelines of 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 xml:space="preserve">Nolte et al. </w:t>
      </w:r>
      <w:r w:rsidRPr="0026514A">
        <w:rPr>
          <w:rFonts w:asciiTheme="majorHAnsi" w:hAnsiTheme="majorHAnsi"/>
          <w:sz w:val="22"/>
          <w:szCs w:val="22"/>
          <w:lang w:val="en-US"/>
        </w:rPr>
        <w:t>(</w:t>
      </w:r>
      <w:r w:rsidRPr="0026514A">
        <w:rPr>
          <w:rFonts w:asciiTheme="majorHAnsi" w:hAnsiTheme="majorHAnsi"/>
          <w:color w:val="0000FF"/>
          <w:sz w:val="22"/>
          <w:szCs w:val="22"/>
          <w:lang w:val="en-US"/>
        </w:rPr>
        <w:t>2004</w:t>
      </w:r>
      <w:r w:rsidRPr="0026514A">
        <w:rPr>
          <w:rFonts w:asciiTheme="majorHAnsi" w:hAnsiTheme="majorHAnsi"/>
          <w:sz w:val="22"/>
          <w:szCs w:val="22"/>
          <w:lang w:val="en-US"/>
        </w:rPr>
        <w:t>). Our</w:t>
      </w:r>
      <w:r w:rsidR="00D37DB6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FDR correction re</w:t>
      </w:r>
      <w:r w:rsidR="00547812">
        <w:rPr>
          <w:rFonts w:asciiTheme="majorHAnsi" w:hAnsiTheme="majorHAnsi"/>
          <w:sz w:val="22"/>
          <w:szCs w:val="22"/>
          <w:lang w:val="en-US"/>
        </w:rPr>
        <w:t>fl</w:t>
      </w:r>
      <w:r w:rsidRPr="0026514A">
        <w:rPr>
          <w:rFonts w:asciiTheme="majorHAnsi" w:hAnsiTheme="majorHAnsi"/>
          <w:sz w:val="22"/>
          <w:szCs w:val="22"/>
          <w:lang w:val="en-US"/>
        </w:rPr>
        <w:t>ects a con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dence that 99.5% of values observed are true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observations. We present 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ndings from an early preparatory window (100-300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) in the cue to target interval and a post target period between 200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to 400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ms.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As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our </w:t>
      </w:r>
      <w:r w:rsidR="00547812">
        <w:rPr>
          <w:rFonts w:asciiTheme="majorHAnsi" w:hAnsiTheme="majorHAnsi"/>
          <w:sz w:val="22"/>
          <w:szCs w:val="22"/>
          <w:lang w:val="en-US"/>
        </w:rPr>
        <w:t>h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ypotheses targeted theta and alpha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synchronisation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we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only report results from these </w:t>
      </w:r>
      <w:r w:rsidR="00547812">
        <w:rPr>
          <w:rFonts w:asciiTheme="majorHAnsi" w:hAnsiTheme="majorHAnsi"/>
          <w:sz w:val="22"/>
          <w:szCs w:val="22"/>
          <w:lang w:val="en-US"/>
        </w:rPr>
        <w:t>f</w:t>
      </w:r>
      <w:r w:rsidRPr="0026514A">
        <w:rPr>
          <w:rFonts w:asciiTheme="majorHAnsi" w:hAnsiTheme="majorHAnsi"/>
          <w:sz w:val="22"/>
          <w:szCs w:val="22"/>
          <w:lang w:val="en-US"/>
        </w:rPr>
        <w:t>requencies here.</w:t>
      </w:r>
    </w:p>
    <w:p w:rsidR="0026514A" w:rsidRPr="00547812" w:rsidRDefault="0026514A" w:rsidP="0026514A">
      <w:pPr>
        <w:spacing w:line="360" w:lineRule="auto"/>
        <w:outlineLvl w:val="0"/>
        <w:rPr>
          <w:rFonts w:asciiTheme="majorHAnsi" w:hAnsiTheme="majorHAnsi"/>
          <w:b/>
          <w:sz w:val="22"/>
          <w:szCs w:val="22"/>
          <w:lang w:val="en-US"/>
        </w:rPr>
      </w:pPr>
      <w:r w:rsidRPr="00547812">
        <w:rPr>
          <w:rFonts w:asciiTheme="majorHAnsi" w:hAnsiTheme="majorHAnsi"/>
          <w:b/>
          <w:sz w:val="22"/>
          <w:szCs w:val="22"/>
          <w:lang w:val="en-US"/>
        </w:rPr>
        <w:t>3. Results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3.1.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Behavioural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Results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Behavioural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data were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analysed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using a repeated- measures ANOVA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(TRIAL TYPE (4) * TASK (3)) in SPSS. For RT there were signi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cant main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547812" w:rsidRPr="0026514A">
        <w:rPr>
          <w:rFonts w:asciiTheme="majorHAnsi" w:hAnsiTheme="majorHAnsi"/>
          <w:sz w:val="22"/>
          <w:szCs w:val="22"/>
          <w:lang w:val="en-US"/>
        </w:rPr>
        <w:t>e</w:t>
      </w:r>
      <w:r w:rsidR="00547812">
        <w:rPr>
          <w:rFonts w:asciiTheme="majorHAnsi" w:hAnsiTheme="majorHAnsi"/>
          <w:sz w:val="22"/>
          <w:szCs w:val="22"/>
          <w:lang w:val="en-US"/>
        </w:rPr>
        <w:t>ff</w:t>
      </w:r>
      <w:r w:rsidR="00547812" w:rsidRPr="0026514A">
        <w:rPr>
          <w:rFonts w:asciiTheme="majorHAnsi" w:hAnsiTheme="majorHAnsi"/>
          <w:sz w:val="22"/>
          <w:szCs w:val="22"/>
          <w:lang w:val="en-US"/>
        </w:rPr>
        <w:t>ects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 for TRIAL TYPE,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F(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3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;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84) = 120.005, p 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&lt;</w:t>
      </w:r>
      <w:r w:rsidRPr="0026514A">
        <w:rPr>
          <w:rFonts w:asciiTheme="majorHAnsi" w:hAnsiTheme="majorHAnsi"/>
          <w:sz w:val="22"/>
          <w:szCs w:val="22"/>
          <w:lang w:val="en-US"/>
        </w:rPr>
        <w:t>0.001 and TASK, F(2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;</w:t>
      </w:r>
      <w:r w:rsidRPr="0026514A">
        <w:rPr>
          <w:rFonts w:asciiTheme="majorHAnsi" w:hAnsiTheme="majorHAnsi"/>
          <w:sz w:val="22"/>
          <w:szCs w:val="22"/>
          <w:lang w:val="en-US"/>
        </w:rPr>
        <w:t>56)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= 24.454, p 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&lt;</w:t>
      </w:r>
      <w:r w:rsidRPr="0026514A">
        <w:rPr>
          <w:rFonts w:asciiTheme="majorHAnsi" w:hAnsiTheme="majorHAnsi"/>
          <w:sz w:val="22"/>
          <w:szCs w:val="22"/>
          <w:lang w:val="en-US"/>
        </w:rPr>
        <w:t>0.001 but their interaction did not reach signi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cance. Repeat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trials were performed faster than switch-to,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F(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1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;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28) = 63.66, p 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&lt;</w:t>
      </w:r>
      <w:r w:rsidRPr="0026514A">
        <w:rPr>
          <w:rFonts w:asciiTheme="majorHAnsi" w:hAnsiTheme="majorHAnsi"/>
          <w:sz w:val="22"/>
          <w:szCs w:val="22"/>
          <w:lang w:val="en-US"/>
        </w:rPr>
        <w:t>0.001,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switch-away, F(1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;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28) = 192.988, p 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&lt;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0.001 and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noninformative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trials, F(1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;</w:t>
      </w:r>
      <w:r w:rsidRPr="0026514A">
        <w:rPr>
          <w:rFonts w:asciiTheme="majorHAnsi" w:hAnsiTheme="majorHAnsi"/>
          <w:sz w:val="22"/>
          <w:szCs w:val="22"/>
          <w:lang w:val="en-US"/>
        </w:rPr>
        <w:t>28)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= 423.066, p 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&lt;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0.001. Switch-to trials were faster than switch-away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F(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1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;</w:t>
      </w:r>
      <w:r w:rsidRPr="0026514A">
        <w:rPr>
          <w:rFonts w:asciiTheme="majorHAnsi" w:hAnsiTheme="majorHAnsi"/>
          <w:sz w:val="22"/>
          <w:szCs w:val="22"/>
          <w:lang w:val="en-US"/>
        </w:rPr>
        <w:t>28) =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152.19, p 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&lt;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0.001 and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noninformative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trials F(1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;</w:t>
      </w:r>
      <w:r w:rsidRPr="0026514A">
        <w:rPr>
          <w:rFonts w:asciiTheme="majorHAnsi" w:hAnsiTheme="majorHAnsi"/>
          <w:sz w:val="22"/>
          <w:szCs w:val="22"/>
          <w:lang w:val="en-US"/>
        </w:rPr>
        <w:t>28) = 11.37, p = 0.002, and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noninformative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were performed faster than switch-away F(1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;</w:t>
      </w:r>
      <w:r w:rsidRPr="0026514A">
        <w:rPr>
          <w:rFonts w:asciiTheme="majorHAnsi" w:hAnsiTheme="majorHAnsi"/>
          <w:sz w:val="22"/>
          <w:szCs w:val="22"/>
          <w:lang w:val="en-US"/>
        </w:rPr>
        <w:t>28) = 32.435, p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&lt;</w:t>
      </w:r>
      <w:r w:rsidRPr="0026514A">
        <w:rPr>
          <w:rFonts w:asciiTheme="majorHAnsi" w:hAnsiTheme="majorHAnsi"/>
          <w:sz w:val="22"/>
          <w:szCs w:val="22"/>
          <w:lang w:val="en-US"/>
        </w:rPr>
        <w:t>0.001 (see Figure 3). Overall our participants were very accurate, with signi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cant main </w:t>
      </w:r>
      <w:r w:rsidR="00547812" w:rsidRPr="0026514A">
        <w:rPr>
          <w:rFonts w:asciiTheme="majorHAnsi" w:hAnsiTheme="majorHAnsi"/>
          <w:sz w:val="22"/>
          <w:szCs w:val="22"/>
          <w:lang w:val="en-US"/>
        </w:rPr>
        <w:t>e</w:t>
      </w:r>
      <w:r w:rsidR="00547812">
        <w:rPr>
          <w:rFonts w:asciiTheme="majorHAnsi" w:hAnsiTheme="majorHAnsi"/>
          <w:sz w:val="22"/>
          <w:szCs w:val="22"/>
          <w:lang w:val="en-US"/>
        </w:rPr>
        <w:t>ff</w:t>
      </w:r>
      <w:r w:rsidR="00547812" w:rsidRPr="0026514A">
        <w:rPr>
          <w:rFonts w:asciiTheme="majorHAnsi" w:hAnsiTheme="majorHAnsi"/>
          <w:sz w:val="22"/>
          <w:szCs w:val="22"/>
          <w:lang w:val="en-US"/>
        </w:rPr>
        <w:t>ects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 only for TRIAL TYPE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F(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3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;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84) = 7.362, p </w:t>
      </w:r>
      <w:r w:rsidRPr="0026514A">
        <w:rPr>
          <w:rFonts w:asciiTheme="majorHAnsi" w:hAnsiTheme="majorHAnsi"/>
          <w:b/>
          <w:bCs/>
          <w:sz w:val="22"/>
          <w:szCs w:val="22"/>
          <w:lang w:val="en-US"/>
        </w:rPr>
        <w:t>&lt;</w:t>
      </w:r>
      <w:r w:rsidRPr="0026514A">
        <w:rPr>
          <w:rFonts w:asciiTheme="majorHAnsi" w:hAnsiTheme="majorHAnsi"/>
          <w:sz w:val="22"/>
          <w:szCs w:val="22"/>
          <w:lang w:val="en-US"/>
        </w:rPr>
        <w:t>0.001, driven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primarily by repeat trial performance being more accurate than switch-to,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switch-away and non-informative.</w:t>
      </w:r>
    </w:p>
    <w:p w:rsidR="0026514A" w:rsidRPr="00547812" w:rsidRDefault="0026514A" w:rsidP="0026514A">
      <w:pPr>
        <w:spacing w:line="360" w:lineRule="auto"/>
        <w:outlineLvl w:val="0"/>
        <w:rPr>
          <w:rFonts w:asciiTheme="majorHAnsi" w:hAnsiTheme="majorHAnsi"/>
          <w:i/>
          <w:sz w:val="22"/>
          <w:szCs w:val="22"/>
          <w:lang w:val="en-US"/>
        </w:rPr>
      </w:pPr>
      <w:r w:rsidRPr="00547812">
        <w:rPr>
          <w:rFonts w:asciiTheme="majorHAnsi" w:hAnsiTheme="majorHAnsi"/>
          <w:i/>
          <w:sz w:val="22"/>
          <w:szCs w:val="22"/>
          <w:lang w:val="en-US"/>
        </w:rPr>
        <w:t>3.2. Power Analyses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Power was computed for theta, lower alpha and upper alpha. No switch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speci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c features were identi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ed for theta power across the cue to target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interval but were observed in both lower and upper alpha ranges. Figure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3 highlights the strongest of these </w:t>
      </w:r>
      <w:r w:rsidR="00547812" w:rsidRPr="0026514A">
        <w:rPr>
          <w:rFonts w:asciiTheme="majorHAnsi" w:hAnsiTheme="majorHAnsi"/>
          <w:sz w:val="22"/>
          <w:szCs w:val="22"/>
          <w:lang w:val="en-US"/>
        </w:rPr>
        <w:t>e</w:t>
      </w:r>
      <w:r w:rsidR="00547812">
        <w:rPr>
          <w:rFonts w:asciiTheme="majorHAnsi" w:hAnsiTheme="majorHAnsi"/>
          <w:sz w:val="22"/>
          <w:szCs w:val="22"/>
          <w:lang w:val="en-US"/>
        </w:rPr>
        <w:t>ff</w:t>
      </w:r>
      <w:r w:rsidR="00547812" w:rsidRPr="0026514A">
        <w:rPr>
          <w:rFonts w:asciiTheme="majorHAnsi" w:hAnsiTheme="majorHAnsi"/>
          <w:sz w:val="22"/>
          <w:szCs w:val="22"/>
          <w:lang w:val="en-US"/>
        </w:rPr>
        <w:t>ects</w:t>
      </w:r>
      <w:r w:rsidRPr="0026514A">
        <w:rPr>
          <w:rFonts w:asciiTheme="majorHAnsi" w:hAnsiTheme="majorHAnsi"/>
          <w:sz w:val="22"/>
          <w:szCs w:val="22"/>
          <w:lang w:val="en-US"/>
        </w:rPr>
        <w:t>, showing the increase in parietal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power for switch-to and switch-away conditions in the upper alpha band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(see Supplementary Materials for equivalent plots for theta and lower alpha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>bands). Both switch-to and switch-away show marked increases in parietal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power relative to the repeat baseline condition during the 400-600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preparation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interval that is largely absent for the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noninformative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condition. The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strongest power is observed during this 400-600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window but for switch</w:t>
      </w:r>
      <w:r w:rsidR="00547812">
        <w:rPr>
          <w:rFonts w:asciiTheme="majorHAnsi" w:hAnsiTheme="majorHAnsi"/>
          <w:sz w:val="22"/>
          <w:szCs w:val="22"/>
          <w:lang w:val="en-US"/>
        </w:rPr>
        <w:t>-</w:t>
      </w:r>
      <w:r w:rsidRPr="0026514A">
        <w:rPr>
          <w:rFonts w:asciiTheme="majorHAnsi" w:hAnsiTheme="majorHAnsi"/>
          <w:sz w:val="22"/>
          <w:szCs w:val="22"/>
          <w:lang w:val="en-US"/>
        </w:rPr>
        <w:t>away</w:t>
      </w:r>
      <w:r w:rsidR="00547812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trials in particular it is seen to wax and wane in the two adjacent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time</w:t>
      </w:r>
      <w:proofErr w:type="gram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windows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(200-400 and 600-800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).</w:t>
      </w:r>
    </w:p>
    <w:p w:rsidR="0026514A" w:rsidRPr="00547812" w:rsidRDefault="0026514A" w:rsidP="0026514A">
      <w:pPr>
        <w:spacing w:line="360" w:lineRule="auto"/>
        <w:outlineLvl w:val="0"/>
        <w:rPr>
          <w:rFonts w:asciiTheme="majorHAnsi" w:hAnsiTheme="majorHAnsi"/>
          <w:i/>
          <w:sz w:val="22"/>
          <w:szCs w:val="22"/>
          <w:lang w:val="en-US"/>
        </w:rPr>
      </w:pPr>
      <w:r w:rsidRPr="00547812">
        <w:rPr>
          <w:rFonts w:asciiTheme="majorHAnsi" w:hAnsiTheme="majorHAnsi"/>
          <w:i/>
          <w:sz w:val="22"/>
          <w:szCs w:val="22"/>
          <w:lang w:val="en-US"/>
        </w:rPr>
        <w:t>3.3. Imaginary Coherence Analyses</w:t>
      </w:r>
    </w:p>
    <w:p w:rsidR="0026514A" w:rsidRPr="0026514A" w:rsidRDefault="00547812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br w:type="column"/>
      </w:r>
      <w:bookmarkStart w:id="0" w:name="_GoBack"/>
      <w:bookmarkEnd w:id="0"/>
      <w:r w:rsidR="0026514A" w:rsidRPr="0026514A">
        <w:rPr>
          <w:rFonts w:asciiTheme="majorHAnsi" w:hAnsiTheme="majorHAnsi"/>
          <w:sz w:val="22"/>
          <w:szCs w:val="22"/>
          <w:lang w:val="en-US"/>
        </w:rPr>
        <w:t>4. References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Azouz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R., Gray, C. M., 2003. Adaptive coincidence detection and dynamic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gain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control in visual cortical neurons in vivo. Neuron 37, 513{523.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Benjamini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Y.,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Yekutieli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D., 2001. The control of the false discovery rate in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multiple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testing under dependency.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The Annals of Statistics 29 (4).</w:t>
      </w:r>
      <w:proofErr w:type="gram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Braver, T. S., 2012. The variable nature of cognitive control: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 dual mechanisms</w:t>
      </w:r>
      <w:proofErr w:type="gram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framework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. Trends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Cogn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16 (2), 106{13.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Cavanagh, J. F., Cohen, M. X., Allen, J. J., 2009. Prelude to and resolution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of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an error: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Eeg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phase synchrony reveals cognitive control dynamics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during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action monitoring.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29 (1), 98{105.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Corbetta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M., Shulman, G. L., 2002.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Control of goal-directed and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stimulusdriven</w:t>
      </w:r>
      <w:proofErr w:type="spell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attention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in the brain. Nat Rev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3 (3), 201{215,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10.1038/nrn755.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Delorme, A.,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Makeig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S., 2004.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Eeglab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: an open source toolbox for analysis of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single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-trial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eeg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dynamics using independent component analysis. Journal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of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Neuroscience Methods 134, 9{21.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Doesburg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S. M., Green, J. J., McDonald, J. J., Ward, L. M., 2009. From local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inhibition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to long-range integration: a functional dissociation of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alphaband</w:t>
      </w:r>
      <w:proofErr w:type="spell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synchronization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across cortical scales in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visuospatial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attention. Brain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Res 1303, 97{110,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doesburg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Sam M Green, Jessica J McDonald, John J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Ward, Lawrence M Netherlands Brain Res. 2009 Dec 15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;1303:97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-110.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doi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: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10.1016/j.brainres.2009.09.069.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2009 Sep 24.</w:t>
      </w:r>
      <w:proofErr w:type="gram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Doesburg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S. M., Ward, L. M., 2007. Long-distance alpha-band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meg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synchronization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maintains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selective visual attention. International Congress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Series 1300, 551{554.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Dosenbach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N. U., Fair, D. A., Cohen, A. L.,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Schlaggar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B. L., Petersen,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S. E., 2008.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 dual-networks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architecture of top-down control. Trends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Cogn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12 (3), 99{105.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Engel, A. K., Fries, P., Singer, W., 2001. Dynamic predictions: Oscillations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and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synchrony in top-down processing. Nature Reviews Neuroscience 2,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704{716.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Fries, P., 2005. A mechanism for cognitive dynamics: neuronal communication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through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neuronal coherence. Trends in Cognitive Science 9 (10),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474{480.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11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Huang, L. Y., She, H. C., Chou, W. C., Chuang, M. H.,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Duann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J. R., Jung,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T. P., 2013. Brain oscillation and connectivity during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 chemistry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visual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working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memory task.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Int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Psychophysiol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90 (2), 172{9,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huang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Li-Yu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She, Hsiao-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Ching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Chou, Wen-Chi Chuang, Ming-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Hua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Duann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Jeng-Ren</w:t>
      </w:r>
      <w:proofErr w:type="spell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Jung,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Tzyy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-Ping Netherlands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Int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Psychophysiol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 2013 Nov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;90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(2):172-9.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doi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: 10.1016/j.ijpsycho.2013.07.001.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2013 Jul 9.</w:t>
      </w:r>
      <w:proofErr w:type="gram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Jensen, O.,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Colgin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L. L., 2007. Cross-frequency coupling between neuronal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oscillations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. Trends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Cogn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11 (7), 267{9,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jensen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, Ole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Colgin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Laura L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England Trends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Cogn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Sci. 2007 Jul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;11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(7):267-9.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2007 Jun 4.</w:t>
      </w:r>
      <w:proofErr w:type="gramEnd"/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Kahlbrock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N.,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Butz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M., May, E. S., Schnitzler, A., 2012. Sustained gamma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band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synchronization in early visual areas re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ects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the level of selective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attention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Neuroimage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59 (1), 673{81,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kahlbrock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Nina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Butz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Markus May,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Elisabeth S Schnitzler,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Alfons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Neuroimage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2012 Jan 2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;59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(1):673-81.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doi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: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10.1016/j.neuroimage.2011.07.017.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2011 Jul 19.</w:t>
      </w:r>
      <w:proofErr w:type="gram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Karayanidis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F., Mans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eld, E. L., Galloway, K. L., Smith, J. L., Provost,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A.,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Heathcote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A., 2009. Anticipatory recon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guration elicited by fully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and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partially informative cues that validly predict a switch in task.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Cogn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ect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Behav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9 (2), 202{15,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karayanidis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Frini Mans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eld,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Elise L Galloway, Kasey L Smith, Janette L Provost, Alexander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Heathcote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Andrew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Cogn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ect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Behav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2009 Jun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;9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(2):202-15.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doi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: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10.3758/CABN.9.2.202.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Luu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P., Tucker, D. M.,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Makeig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S., 2004. Frontal midline theta and the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errorrelated</w:t>
      </w:r>
      <w:proofErr w:type="spell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negativity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: neurophysiological mechanisms of action regulation.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Clin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115 (8), 1821{35.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Mans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eld, E. L.,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Karayanidis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F., Cohen, M. X., 2012.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Switch-related and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general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preparation processes in task-switching: evidence from multivariate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pattern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classi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 xml:space="preserve">cation of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eeg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data.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32 (50), 18253{8, mans-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proofErr w:type="gramStart"/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eld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, Elise L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Karayanidis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Frini Cohen, Michael X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 2012 Dec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12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;32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(50):18253-8.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doi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: 10.1523/JNEUROSCI.0737-12.2012.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Maris, E., Womelsdorf, T.,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Desimone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R., Fries, P., 2013. Rhythmic neuronal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synchronization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in visual cortex entails spatial phase relation diversity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that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is modulated by stimulation and attention.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Neuroimage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74, 99{116.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Miyake, A., Friedman, N. P., Emerson, M. J.,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Witzki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A. H.,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Howerter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A., Wager, T. D., 2000. The unity and diversity of executive functions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and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their contributions to complex "frontal lobe" tasks: a latent variable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analysis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Cogn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Psychol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41 (1), 49{100,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miyake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A Friedman, N P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12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Emerson, M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Witzki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A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H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Howerter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A Wager, T D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Cogn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Psychol. 2000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Aug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;41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(1):49-100.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Moore, R. A., Gale, A., Morris, P. H., Forrester, D., 2006. Theta phase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locking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across the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neocortex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re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ects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cortico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-hippocampal recursive communication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during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goal con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ict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resolution.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Int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Psychophysiol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60 (3),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260{73,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moore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, Roger A Gale, Anthony Morris, Paul H Forrester, Dave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Netherlands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Int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Psychophysiol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2006 Jun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;60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(3):260-73.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2005 Sep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15.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Moore, R. A., Mills, M.,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Marshman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P.,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Corr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P. J., 2012.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Behavioural</w:t>
      </w:r>
      <w:proofErr w:type="spell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inhibition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system (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bis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) sensitivity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di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erentiates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eeg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theta responses during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goal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con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ict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in a continuous monitoring task.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Int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Psychophysiol</w:t>
      </w:r>
      <w:proofErr w:type="spellEnd"/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85 (2), 135{44,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moore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, Roger A Mills, Matthew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Marshman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Paul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Corr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Philip J Netherlands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Int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Psychophysiol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2012 Aug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;85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(2):135-44.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doi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: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10.1016/j.ijpsycho.2012.06.006.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2012 Jun 23.</w:t>
      </w:r>
      <w:proofErr w:type="gram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Nolte, G., Wheaton, O.,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Vorbach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S.,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Hallet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M., 2004. Identifying true brain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interaction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from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eeg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data using the imaginary part of coherency. Clinical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Neurophysiology 115, 2292/2307.</w:t>
      </w:r>
      <w:proofErr w:type="gramEnd"/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Oostenveld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R., Fries, P., Maris, E.,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Scho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elen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J. M., 2011. Fieldtrip: Open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source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software for advanced analysis of meg,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eeg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and invasive electrophysiological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data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Comput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Intell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2011, 156869,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oostenveld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Robert Fries, Pascal Maris, Eric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Scho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elen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Jan-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Mathijs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Comput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Intell</w:t>
      </w:r>
      <w:proofErr w:type="spell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 2011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;2011:156869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doi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: 10.1155/2011/156869.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2010 Dec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23.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Palva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J. M.,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Palva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S., Kaila, K., 2005. Phase synchrony among neuronal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oscillations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in the human cortex.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25 (15), 3962{72,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palva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J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Matias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Palva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Satu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Kaila, Kai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Neurosci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 2005 Apr 13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;25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(15):3962-72.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Papenberg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G., Hammerer, D., Muller, V.,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Lindenberger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U., Li, S. C., 2013.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Lower theta inter-trial phase coherence during performance monitoring is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related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to higher reaction time variability: A lifespan study.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Neuroimage</w:t>
      </w:r>
      <w:proofErr w:type="spellEnd"/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83, 912{20,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papenberg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Goran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Hammerer, Dorothea Muller, Viktor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Lindenberger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Ulman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Li,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Shu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-Chen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Neuroimage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 2013 Dec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;83:912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-20.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doi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: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10.1016/j.neuroimage.2013.07.032.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2013 Jul 19.</w:t>
      </w:r>
      <w:proofErr w:type="gramEnd"/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Pesonen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M.,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Hamalainen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H., Krause, C. M., 2007.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Brain oscillatory 4-30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hz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responses during a visual n-back memory task with varying memory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load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. Brain Res 1138, 171{7,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pesonen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Mirka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Hamalainen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Heikki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Krause,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13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Christina M Netherlands Brain Res. 2007 Mar 23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;1138:171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-7.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2007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Jan 4.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Sauseng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P.,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Klimesch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W.,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Freunberger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R.,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Pecherstorfer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T.,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Hanslmayr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S.,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Doppelmayr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M., 2006. Relevance of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eeg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alpha and theta oscillations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during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task switching.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Exp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Brain Res 170 (3), 295{301,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sauseng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P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Klimesch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W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Freunberger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R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Pecherstorfer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T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Hanslmayr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S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Doppelmayr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M P 16849-B02/Austrian Science Fund FWF/Austria Germany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Exp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Brain Res. 2006 Apr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;170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(3):295-301.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2005 Nov 30.</w:t>
      </w:r>
      <w:proofErr w:type="gram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Sauseng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P.,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Klimesch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W.,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Schabus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M.,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Doppelmayr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M., 2005.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Frontoparietal</w:t>
      </w:r>
      <w:proofErr w:type="spell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eeg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coherence in theta and upper alpha re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ect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central executive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functions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of working memory.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Int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Psychophysiol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57 (2), 97{103,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sauseng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Paul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Klimesch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Wolfgang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Schabus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Manuel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Doppelmayr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Michael P 16849-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 xml:space="preserve">B02/Austrian Science Fund FWF/Austria Netherlands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Int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Psychophysiol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</w:t>
      </w:r>
      <w:proofErr w:type="gram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2005 Aug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;57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(2):97-103.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Seeley, W. W.,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Menon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V.,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Schatzberg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A. F., Keller, J., Glover, G. H.,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Kenna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H., Reiss, A. L.,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Greicius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M. D., 2007. Dissociable intrinsic connectivity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networks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for salience processing and executive control.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Neurosci</w:t>
      </w:r>
      <w:proofErr w:type="spell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27 (9), 2349{56.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Serrien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D. J.,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Pogosyan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A. H., Cassidy, M. J., Brown, P., 2004. Anticipatory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cortico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-cortical interactions: switching the task con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guration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between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</w:t>
      </w:r>
      <w:r>
        <w:rPr>
          <w:rFonts w:asciiTheme="majorHAnsi" w:hAnsiTheme="majorHAnsi"/>
          <w:sz w:val="22"/>
          <w:szCs w:val="22"/>
          <w:lang w:val="en-US"/>
        </w:rPr>
        <w:t>fi</w:t>
      </w:r>
      <w:r w:rsidRPr="0026514A">
        <w:rPr>
          <w:rFonts w:asciiTheme="majorHAnsi" w:hAnsiTheme="majorHAnsi"/>
          <w:sz w:val="22"/>
          <w:szCs w:val="22"/>
          <w:lang w:val="en-US"/>
        </w:rPr>
        <w:t>ectors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Exp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Brain Res 154 (3), 359{67,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serrien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Deborah J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Pogosyan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Alek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H Cassidy, Michael J Brown, Peter Germany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Exp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Brain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Res. 2004 Feb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;154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(3):359-67.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2003 Nov 15.</w:t>
      </w:r>
      <w:proofErr w:type="gram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Tallet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J.,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Barral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J.,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Hauert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C. A., 2009. Electro-cortical correlates of motor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inhibition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: a comparison between selective and non-selective stop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tasks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. Brain Res 1284, 68{76,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tallet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Jessica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Barral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Jerome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Hauert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Claude-Alain Netherlands Brain Res. 2009 Aug 11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;1284:68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-76.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doi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: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10.1016/j.brainres.2009.05.058.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2009 Jun 2.</w:t>
      </w:r>
      <w:proofErr w:type="gramEnd"/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Trujillo, L. T., Allen, J. J., 2007. Theta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eeg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dynamics of the error-related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negativity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Clin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118 (3), 645{68,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trujillo</w:t>
      </w:r>
      <w:proofErr w:type="spellEnd"/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>, Logan T Allen,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John J B Netherlands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Clin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 2007 Mar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;118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(3):645-68.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2007 Jan 16.</w:t>
      </w:r>
      <w:proofErr w:type="gram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Vincent, J. L., Kahn, I., Snyder, A. Z.,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Raichle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M. E., Buckner, R. L.,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2008. Evidence for a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frontoparietal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control system revealed by intrinsic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functional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connectivity.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100 (6), 3328{3342.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14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Womelsdorf, T., Fries, P., 2006. Neuronal coherence during selective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attentional</w:t>
      </w:r>
      <w:proofErr w:type="spellEnd"/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processing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and sensory-motor integration.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Paris 100 (4),</w:t>
      </w:r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182{93,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womelsdorf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Thilo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Fries, Pascal France J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Physiol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Paris. 2006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Oct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;100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(4):182-93.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2007 Jan 17.</w:t>
      </w:r>
      <w:proofErr w:type="gramEnd"/>
    </w:p>
    <w:p w:rsidR="0026514A" w:rsidRPr="0026514A" w:rsidRDefault="0026514A" w:rsidP="0026514A">
      <w:pPr>
        <w:spacing w:line="360" w:lineRule="auto"/>
        <w:outlineLvl w:val="0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Wu, X., Chen, X., Li, Z., Han, S., Zhang, D., 2007.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Binding of verbal and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spatial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information in human working memory involves large-scale neural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synchronization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 at theta frequency.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Neuroimage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35 (4), 1654{62,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wu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, Xiang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 xml:space="preserve">Chen,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Xiangchuan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Li,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Zhihao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Han,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Shihui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Zhang, Daren </w:t>
      </w:r>
      <w:proofErr w:type="spellStart"/>
      <w:r w:rsidRPr="0026514A">
        <w:rPr>
          <w:rFonts w:asciiTheme="majorHAnsi" w:hAnsiTheme="majorHAnsi"/>
          <w:sz w:val="22"/>
          <w:szCs w:val="22"/>
          <w:lang w:val="en-US"/>
        </w:rPr>
        <w:t>Neuroimage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>.</w:t>
      </w:r>
    </w:p>
    <w:p w:rsidR="0026514A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  <w:lang w:val="en-US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2007 May 1</w:t>
      </w:r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;35</w:t>
      </w:r>
      <w:proofErr w:type="gramEnd"/>
      <w:r w:rsidRPr="0026514A">
        <w:rPr>
          <w:rFonts w:asciiTheme="majorHAnsi" w:hAnsiTheme="majorHAnsi"/>
          <w:sz w:val="22"/>
          <w:szCs w:val="22"/>
          <w:lang w:val="en-US"/>
        </w:rPr>
        <w:t xml:space="preserve">(4):1654-62. </w:t>
      </w:r>
      <w:proofErr w:type="spellStart"/>
      <w:proofErr w:type="gramStart"/>
      <w:r w:rsidRPr="0026514A">
        <w:rPr>
          <w:rFonts w:asciiTheme="majorHAnsi" w:hAnsiTheme="majorHAnsi"/>
          <w:sz w:val="22"/>
          <w:szCs w:val="22"/>
          <w:lang w:val="en-US"/>
        </w:rPr>
        <w:t>Epub</w:t>
      </w:r>
      <w:proofErr w:type="spellEnd"/>
      <w:r w:rsidRPr="0026514A">
        <w:rPr>
          <w:rFonts w:asciiTheme="majorHAnsi" w:hAnsiTheme="majorHAnsi"/>
          <w:sz w:val="22"/>
          <w:szCs w:val="22"/>
          <w:lang w:val="en-US"/>
        </w:rPr>
        <w:t xml:space="preserve"> 2007 Feb 15.</w:t>
      </w:r>
      <w:proofErr w:type="gramEnd"/>
    </w:p>
    <w:p w:rsidR="001B1DBE" w:rsidRPr="0026514A" w:rsidRDefault="0026514A" w:rsidP="0026514A">
      <w:pPr>
        <w:spacing w:line="360" w:lineRule="auto"/>
        <w:rPr>
          <w:rFonts w:asciiTheme="majorHAnsi" w:hAnsiTheme="majorHAnsi"/>
          <w:sz w:val="22"/>
          <w:szCs w:val="22"/>
        </w:rPr>
      </w:pPr>
      <w:r w:rsidRPr="0026514A">
        <w:rPr>
          <w:rFonts w:asciiTheme="majorHAnsi" w:hAnsiTheme="majorHAnsi"/>
          <w:sz w:val="22"/>
          <w:szCs w:val="22"/>
          <w:lang w:val="en-US"/>
        </w:rPr>
        <w:t>15</w:t>
      </w:r>
    </w:p>
    <w:sectPr w:rsidR="001B1DBE" w:rsidRPr="0026514A" w:rsidSect="004E78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14A"/>
    <w:rsid w:val="001B1DBE"/>
    <w:rsid w:val="0026514A"/>
    <w:rsid w:val="004E784E"/>
    <w:rsid w:val="00547812"/>
    <w:rsid w:val="00D3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30F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4303</Words>
  <Characters>24530</Characters>
  <Application>Microsoft Macintosh Word</Application>
  <DocSecurity>0</DocSecurity>
  <Lines>204</Lines>
  <Paragraphs>57</Paragraphs>
  <ScaleCrop>false</ScaleCrop>
  <Company/>
  <LinksUpToDate>false</LinksUpToDate>
  <CharactersWithSpaces>28776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Cooper</dc:creator>
  <cp:keywords/>
  <dc:description/>
  <cp:lastModifiedBy>Patrick Cooper</cp:lastModifiedBy>
  <cp:revision>1</cp:revision>
  <dcterms:created xsi:type="dcterms:W3CDTF">2013-12-20T03:21:00Z</dcterms:created>
  <dcterms:modified xsi:type="dcterms:W3CDTF">2013-12-20T03:45:00Z</dcterms:modified>
</cp:coreProperties>
</file>