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D85EC" w14:textId="77777777" w:rsidR="000E6843" w:rsidRPr="00C911A0" w:rsidRDefault="000E6843" w:rsidP="000E6843">
      <w:pPr>
        <w:spacing w:line="288" w:lineRule="auto"/>
        <w:rPr>
          <w:rFonts w:ascii="Calibri" w:hAnsi="Calibri"/>
          <w:b/>
          <w:sz w:val="24"/>
        </w:rPr>
      </w:pPr>
      <w:r w:rsidRPr="00C911A0">
        <w:rPr>
          <w:rFonts w:ascii="Calibri" w:hAnsi="Calibri"/>
          <w:b/>
          <w:sz w:val="24"/>
        </w:rPr>
        <w:t>Městský soud v Praze</w:t>
      </w:r>
    </w:p>
    <w:p w14:paraId="3271E1EC" w14:textId="77777777" w:rsidR="00633435" w:rsidRDefault="00633435" w:rsidP="000E6843">
      <w:pPr>
        <w:spacing w:line="288" w:lineRule="auto"/>
        <w:rPr>
          <w:rFonts w:ascii="Calibri" w:hAnsi="Calibri"/>
          <w:sz w:val="24"/>
        </w:rPr>
      </w:pPr>
      <w:r w:rsidRPr="00633435">
        <w:rPr>
          <w:rFonts w:ascii="Calibri" w:hAnsi="Calibri"/>
          <w:sz w:val="24"/>
        </w:rPr>
        <w:t xml:space="preserve">Slezská 9, 120 00 Praha 2 </w:t>
      </w:r>
    </w:p>
    <w:p w14:paraId="752F8737" w14:textId="55F4EA15" w:rsidR="000E6843" w:rsidRPr="00066AAA" w:rsidRDefault="000E6843" w:rsidP="000E6843">
      <w:pPr>
        <w:spacing w:line="288" w:lineRule="auto"/>
        <w:rPr>
          <w:rFonts w:ascii="Calibri" w:hAnsi="Calibri"/>
          <w:b/>
          <w:bCs/>
          <w:sz w:val="24"/>
          <w:u w:val="single"/>
        </w:rPr>
      </w:pPr>
      <w:r w:rsidRPr="00066AAA">
        <w:rPr>
          <w:rFonts w:ascii="Calibri" w:hAnsi="Calibri"/>
          <w:b/>
          <w:sz w:val="24"/>
        </w:rPr>
        <w:t xml:space="preserve">ID dat. schr. </w:t>
      </w:r>
      <w:r w:rsidRPr="00066AAA">
        <w:rPr>
          <w:rFonts w:ascii="Calibri" w:hAnsi="Calibri"/>
          <w:b/>
          <w:bCs/>
          <w:sz w:val="24"/>
        </w:rPr>
        <w:t>snkabbm</w:t>
      </w:r>
    </w:p>
    <w:p w14:paraId="3B634344" w14:textId="35E4329A" w:rsidR="000E6843" w:rsidRPr="00C911A0" w:rsidRDefault="000E6843" w:rsidP="000E6843">
      <w:pPr>
        <w:spacing w:line="288" w:lineRule="auto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Praha, </w:t>
      </w:r>
      <w:r w:rsidR="00633435">
        <w:rPr>
          <w:rFonts w:ascii="Calibri" w:hAnsi="Calibri"/>
          <w:sz w:val="24"/>
        </w:rPr>
        <w:t>11. 12</w:t>
      </w:r>
      <w:r>
        <w:rPr>
          <w:rFonts w:ascii="Calibri" w:hAnsi="Calibri"/>
          <w:sz w:val="24"/>
        </w:rPr>
        <w:t>. 2019</w:t>
      </w:r>
    </w:p>
    <w:p w14:paraId="0FB3163C" w14:textId="77777777" w:rsidR="00A81B43" w:rsidRDefault="00A81B43" w:rsidP="000E6843">
      <w:pPr>
        <w:spacing w:line="288" w:lineRule="auto"/>
        <w:rPr>
          <w:rFonts w:ascii="Calibri" w:hAnsi="Calibri"/>
          <w:b/>
          <w:sz w:val="24"/>
        </w:rPr>
      </w:pPr>
    </w:p>
    <w:p w14:paraId="6A184BF6" w14:textId="77777777" w:rsidR="000E6843" w:rsidRDefault="000E6843" w:rsidP="000E6843">
      <w:pPr>
        <w:spacing w:line="288" w:lineRule="auto"/>
        <w:rPr>
          <w:rFonts w:ascii="Calibri" w:hAnsi="Calibri"/>
          <w:b/>
          <w:sz w:val="24"/>
        </w:rPr>
      </w:pPr>
      <w:r w:rsidRPr="00C911A0">
        <w:rPr>
          <w:rFonts w:ascii="Calibri" w:hAnsi="Calibri"/>
          <w:b/>
          <w:sz w:val="24"/>
        </w:rPr>
        <w:br/>
      </w:r>
      <w:r>
        <w:rPr>
          <w:rFonts w:ascii="Calibri" w:hAnsi="Calibri"/>
          <w:b/>
          <w:sz w:val="24"/>
        </w:rPr>
        <w:t>VĚC: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Pr="00C911A0">
        <w:rPr>
          <w:rFonts w:ascii="Calibri" w:hAnsi="Calibri"/>
          <w:b/>
          <w:sz w:val="24"/>
        </w:rPr>
        <w:t>SPRÁVNÍ ŽALOBA</w:t>
      </w:r>
      <w:r>
        <w:rPr>
          <w:rFonts w:ascii="Calibri" w:hAnsi="Calibri"/>
          <w:b/>
          <w:sz w:val="24"/>
        </w:rPr>
        <w:t xml:space="preserve"> </w:t>
      </w:r>
    </w:p>
    <w:p w14:paraId="4127086A" w14:textId="7C7C44F9" w:rsidR="000E6843" w:rsidRPr="00DE21C9" w:rsidRDefault="000E6843" w:rsidP="000E6843">
      <w:pPr>
        <w:spacing w:line="288" w:lineRule="auto"/>
        <w:rPr>
          <w:rFonts w:ascii="Calibri" w:hAnsi="Calibri"/>
          <w:b/>
          <w:bCs/>
          <w:sz w:val="24"/>
        </w:rPr>
      </w:pPr>
      <w:r w:rsidRPr="00DE21C9">
        <w:rPr>
          <w:rFonts w:ascii="Calibri" w:hAnsi="Calibri"/>
          <w:b/>
          <w:sz w:val="24"/>
        </w:rPr>
        <w:tab/>
      </w:r>
      <w:r w:rsidRPr="00DE21C9">
        <w:rPr>
          <w:rFonts w:ascii="Calibri" w:hAnsi="Calibri"/>
          <w:b/>
          <w:sz w:val="24"/>
        </w:rPr>
        <w:tab/>
      </w:r>
      <w:r w:rsidRPr="00DE21C9">
        <w:rPr>
          <w:rFonts w:ascii="Calibri" w:hAnsi="Calibri"/>
          <w:b/>
          <w:bCs/>
          <w:sz w:val="24"/>
        </w:rPr>
        <w:t xml:space="preserve">proti rozhodnutí žalovaného ze dne </w:t>
      </w:r>
      <w:r w:rsidR="00633435">
        <w:rPr>
          <w:rFonts w:ascii="Calibri" w:hAnsi="Calibri"/>
          <w:b/>
          <w:bCs/>
          <w:sz w:val="24"/>
        </w:rPr>
        <w:t>9. 10</w:t>
      </w:r>
      <w:r w:rsidRPr="00DE21C9">
        <w:rPr>
          <w:rFonts w:ascii="Calibri" w:hAnsi="Calibri"/>
          <w:b/>
          <w:bCs/>
          <w:sz w:val="24"/>
        </w:rPr>
        <w:t>. 2019, č</w:t>
      </w:r>
      <w:r>
        <w:rPr>
          <w:rFonts w:ascii="Calibri" w:hAnsi="Calibri"/>
          <w:b/>
          <w:bCs/>
          <w:sz w:val="24"/>
        </w:rPr>
        <w:t xml:space="preserve">. </w:t>
      </w:r>
      <w:r w:rsidRPr="00DE21C9">
        <w:rPr>
          <w:rFonts w:ascii="Calibri" w:hAnsi="Calibri"/>
          <w:b/>
          <w:bCs/>
          <w:sz w:val="24"/>
        </w:rPr>
        <w:t xml:space="preserve">j. </w:t>
      </w:r>
      <w:r w:rsidR="00633435">
        <w:rPr>
          <w:rFonts w:ascii="Calibri" w:hAnsi="Calibri"/>
          <w:b/>
          <w:bCs/>
          <w:sz w:val="24"/>
        </w:rPr>
        <w:t>28948</w:t>
      </w:r>
      <w:r w:rsidRPr="00DE21C9">
        <w:rPr>
          <w:rFonts w:ascii="Calibri" w:hAnsi="Calibri"/>
          <w:b/>
          <w:bCs/>
          <w:sz w:val="24"/>
        </w:rPr>
        <w:t>/2019-UVCR</w:t>
      </w:r>
    </w:p>
    <w:p w14:paraId="54431B6E" w14:textId="77777777" w:rsidR="00A81B43" w:rsidRDefault="00A81B43" w:rsidP="000E6843">
      <w:pPr>
        <w:spacing w:line="288" w:lineRule="auto"/>
        <w:rPr>
          <w:rFonts w:ascii="Calibri" w:hAnsi="Calibri"/>
          <w:b/>
          <w:sz w:val="24"/>
        </w:rPr>
      </w:pPr>
    </w:p>
    <w:p w14:paraId="117AA181" w14:textId="77777777" w:rsidR="000E6843" w:rsidRPr="00066AAA" w:rsidRDefault="000E6843" w:rsidP="000E6843">
      <w:pPr>
        <w:spacing w:line="288" w:lineRule="auto"/>
        <w:rPr>
          <w:rFonts w:ascii="Calibri" w:hAnsi="Calibri"/>
          <w:b/>
          <w:sz w:val="24"/>
        </w:rPr>
      </w:pPr>
      <w:r w:rsidRPr="00066AAA">
        <w:rPr>
          <w:rFonts w:ascii="Calibri" w:hAnsi="Calibri"/>
          <w:b/>
          <w:sz w:val="24"/>
        </w:rPr>
        <w:br/>
        <w:t>Žalobce:</w:t>
      </w:r>
      <w:r w:rsidRPr="00066AAA">
        <w:rPr>
          <w:rFonts w:ascii="Calibri" w:hAnsi="Calibri"/>
          <w:b/>
          <w:sz w:val="24"/>
        </w:rPr>
        <w:tab/>
      </w:r>
      <w:r w:rsidRPr="00066AAA">
        <w:rPr>
          <w:rFonts w:ascii="Calibri" w:hAnsi="Calibri"/>
          <w:b/>
          <w:bCs/>
          <w:sz w:val="24"/>
        </w:rPr>
        <w:t>Mgr. et Mgr. Jakub Michálek</w:t>
      </w:r>
    </w:p>
    <w:p w14:paraId="289280EC" w14:textId="77777777" w:rsidR="000E6843" w:rsidRPr="00C911A0" w:rsidRDefault="000E6843" w:rsidP="000E6843">
      <w:pPr>
        <w:spacing w:line="288" w:lineRule="auto"/>
        <w:rPr>
          <w:rFonts w:ascii="Calibri" w:hAnsi="Calibri"/>
          <w:sz w:val="24"/>
        </w:rPr>
      </w:pPr>
      <w:r w:rsidRPr="00C911A0">
        <w:rPr>
          <w:rFonts w:ascii="Calibri" w:hAnsi="Calibri"/>
          <w:sz w:val="24"/>
        </w:rPr>
        <w:tab/>
      </w:r>
      <w:r w:rsidRPr="00C911A0">
        <w:rPr>
          <w:rFonts w:ascii="Calibri" w:hAnsi="Calibri"/>
          <w:sz w:val="24"/>
        </w:rPr>
        <w:tab/>
        <w:t>bytem Boř</w:t>
      </w:r>
      <w:r>
        <w:rPr>
          <w:rFonts w:ascii="Calibri" w:hAnsi="Calibri"/>
          <w:sz w:val="24"/>
        </w:rPr>
        <w:t xml:space="preserve">ivojova </w:t>
      </w:r>
      <w:r w:rsidRPr="00C911A0">
        <w:rPr>
          <w:rFonts w:ascii="Calibri" w:hAnsi="Calibri"/>
          <w:sz w:val="24"/>
        </w:rPr>
        <w:t>108, Praha</w:t>
      </w:r>
      <w:r>
        <w:rPr>
          <w:rFonts w:ascii="Calibri" w:hAnsi="Calibri"/>
          <w:sz w:val="24"/>
        </w:rPr>
        <w:t xml:space="preserve"> 3</w:t>
      </w:r>
    </w:p>
    <w:p w14:paraId="176893E9" w14:textId="77777777" w:rsidR="000E6843" w:rsidRPr="00C911A0" w:rsidRDefault="000E6843" w:rsidP="000E6843">
      <w:pPr>
        <w:spacing w:line="288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zástupce:</w:t>
      </w:r>
      <w:r>
        <w:rPr>
          <w:rFonts w:ascii="Calibri" w:hAnsi="Calibri"/>
          <w:sz w:val="24"/>
        </w:rPr>
        <w:tab/>
        <w:t>Mgr. Filip Hajný, advokát</w:t>
      </w:r>
      <w:r w:rsidRPr="00C911A0">
        <w:rPr>
          <w:rFonts w:ascii="Calibri" w:hAnsi="Calibri"/>
          <w:sz w:val="24"/>
        </w:rPr>
        <w:t>, ev. č. ČAK 14269</w:t>
      </w:r>
    </w:p>
    <w:p w14:paraId="21FF11A3" w14:textId="77777777" w:rsidR="000E6843" w:rsidRPr="00C911A0" w:rsidRDefault="000E6843" w:rsidP="000E6843">
      <w:pPr>
        <w:spacing w:line="288" w:lineRule="auto"/>
        <w:rPr>
          <w:rFonts w:ascii="Calibri" w:hAnsi="Calibri"/>
          <w:sz w:val="24"/>
        </w:rPr>
      </w:pPr>
      <w:r w:rsidRPr="00C911A0">
        <w:rPr>
          <w:rFonts w:ascii="Calibri" w:hAnsi="Calibri"/>
          <w:sz w:val="24"/>
        </w:rPr>
        <w:tab/>
      </w:r>
      <w:r w:rsidRPr="00C911A0">
        <w:rPr>
          <w:rFonts w:ascii="Calibri" w:hAnsi="Calibri"/>
          <w:sz w:val="24"/>
        </w:rPr>
        <w:tab/>
        <w:t>se sídlem Rubešova 83/10, Praha 2</w:t>
      </w:r>
      <w:r w:rsidR="00AF5C3D">
        <w:rPr>
          <w:rFonts w:ascii="Calibri" w:hAnsi="Calibri"/>
          <w:sz w:val="24"/>
        </w:rPr>
        <w:t xml:space="preserve"> (plná moc v </w:t>
      </w:r>
      <w:r w:rsidR="00AF5C3D" w:rsidRPr="00AF5C3D">
        <w:rPr>
          <w:rFonts w:ascii="Calibri" w:hAnsi="Calibri"/>
          <w:sz w:val="24"/>
          <w:u w:val="single"/>
        </w:rPr>
        <w:t xml:space="preserve">Příloze č. </w:t>
      </w:r>
      <w:r w:rsidR="00270BD5">
        <w:rPr>
          <w:rFonts w:ascii="Calibri" w:hAnsi="Calibri"/>
          <w:sz w:val="24"/>
          <w:u w:val="single"/>
        </w:rPr>
        <w:t>7</w:t>
      </w:r>
      <w:r w:rsidR="00AF5C3D">
        <w:rPr>
          <w:rFonts w:ascii="Calibri" w:hAnsi="Calibri"/>
          <w:sz w:val="24"/>
        </w:rPr>
        <w:t>)</w:t>
      </w:r>
    </w:p>
    <w:p w14:paraId="2D8020E8" w14:textId="77777777" w:rsidR="00A81B43" w:rsidRDefault="00A81B43" w:rsidP="000E6843">
      <w:pPr>
        <w:spacing w:line="288" w:lineRule="auto"/>
        <w:rPr>
          <w:rFonts w:ascii="Calibri" w:hAnsi="Calibri"/>
          <w:sz w:val="24"/>
        </w:rPr>
      </w:pPr>
    </w:p>
    <w:p w14:paraId="51545256" w14:textId="77777777" w:rsidR="000E6843" w:rsidRPr="00C911A0" w:rsidRDefault="000E6843" w:rsidP="000E6843">
      <w:pPr>
        <w:spacing w:line="288" w:lineRule="auto"/>
        <w:rPr>
          <w:rFonts w:ascii="Calibri" w:hAnsi="Calibri"/>
          <w:sz w:val="24"/>
        </w:rPr>
      </w:pPr>
      <w:r w:rsidRPr="00C911A0">
        <w:rPr>
          <w:rFonts w:ascii="Calibri" w:hAnsi="Calibri"/>
          <w:sz w:val="24"/>
        </w:rPr>
        <w:tab/>
      </w:r>
      <w:r w:rsidRPr="00C911A0">
        <w:rPr>
          <w:rFonts w:ascii="Calibri" w:hAnsi="Calibri"/>
          <w:sz w:val="24"/>
        </w:rPr>
        <w:tab/>
      </w:r>
      <w:r w:rsidRPr="00C911A0">
        <w:rPr>
          <w:rFonts w:ascii="Calibri" w:hAnsi="Calibri"/>
          <w:sz w:val="24"/>
        </w:rPr>
        <w:tab/>
      </w:r>
    </w:p>
    <w:p w14:paraId="2AE788F5" w14:textId="6FECE3B6" w:rsidR="000E6843" w:rsidRPr="00066AAA" w:rsidRDefault="000E6843" w:rsidP="000E6843">
      <w:pPr>
        <w:spacing w:line="288" w:lineRule="auto"/>
        <w:rPr>
          <w:rFonts w:ascii="Calibri" w:hAnsi="Calibri"/>
          <w:b/>
          <w:bCs/>
          <w:sz w:val="24"/>
        </w:rPr>
      </w:pPr>
      <w:r w:rsidRPr="00066AAA">
        <w:rPr>
          <w:rFonts w:ascii="Calibri" w:hAnsi="Calibri"/>
          <w:b/>
          <w:sz w:val="24"/>
        </w:rPr>
        <w:t xml:space="preserve">Žalovaný: </w:t>
      </w:r>
      <w:r w:rsidRPr="00066AAA">
        <w:rPr>
          <w:rFonts w:ascii="Calibri" w:hAnsi="Calibri"/>
          <w:b/>
          <w:sz w:val="24"/>
        </w:rPr>
        <w:tab/>
      </w:r>
      <w:r w:rsidR="00797611" w:rsidRPr="00066AAA">
        <w:rPr>
          <w:rFonts w:ascii="Calibri" w:hAnsi="Calibri"/>
          <w:b/>
          <w:bCs/>
          <w:sz w:val="24"/>
        </w:rPr>
        <w:t>Vláda</w:t>
      </w:r>
      <w:r w:rsidRPr="00066AAA">
        <w:rPr>
          <w:rFonts w:ascii="Calibri" w:hAnsi="Calibri"/>
          <w:b/>
          <w:bCs/>
          <w:sz w:val="24"/>
        </w:rPr>
        <w:t xml:space="preserve"> České republiky</w:t>
      </w:r>
    </w:p>
    <w:p w14:paraId="0F7DDF12" w14:textId="77777777" w:rsidR="000E6843" w:rsidRPr="00C911A0" w:rsidRDefault="000E6843" w:rsidP="000E6843">
      <w:pPr>
        <w:spacing w:line="288" w:lineRule="auto"/>
        <w:rPr>
          <w:rFonts w:ascii="Calibri" w:hAnsi="Calibri"/>
          <w:sz w:val="24"/>
        </w:rPr>
      </w:pPr>
      <w:r w:rsidRPr="00C911A0">
        <w:rPr>
          <w:rFonts w:ascii="Calibri" w:hAnsi="Calibri"/>
          <w:sz w:val="24"/>
        </w:rPr>
        <w:tab/>
      </w:r>
      <w:r w:rsidRPr="00C911A0">
        <w:rPr>
          <w:rFonts w:ascii="Calibri" w:hAnsi="Calibri"/>
          <w:sz w:val="24"/>
        </w:rPr>
        <w:tab/>
        <w:t>se sídlem nábřeží Edvarda Beneše 4, Praha</w:t>
      </w:r>
      <w:r>
        <w:rPr>
          <w:rFonts w:ascii="Calibri" w:hAnsi="Calibri"/>
          <w:sz w:val="24"/>
        </w:rPr>
        <w:t xml:space="preserve"> 1</w:t>
      </w:r>
    </w:p>
    <w:p w14:paraId="6AE374A0" w14:textId="77777777" w:rsidR="000E6843" w:rsidRDefault="000E6843" w:rsidP="000E6843">
      <w:pPr>
        <w:spacing w:line="288" w:lineRule="auto"/>
        <w:rPr>
          <w:rFonts w:ascii="Calibri" w:hAnsi="Calibri"/>
          <w:sz w:val="24"/>
        </w:rPr>
      </w:pPr>
    </w:p>
    <w:p w14:paraId="0699C5BA" w14:textId="77777777" w:rsidR="00A81B43" w:rsidRPr="00C911A0" w:rsidRDefault="00A81B43" w:rsidP="000E6843">
      <w:pPr>
        <w:spacing w:line="288" w:lineRule="auto"/>
        <w:rPr>
          <w:rFonts w:ascii="Calibri" w:hAnsi="Calibri"/>
          <w:sz w:val="24"/>
        </w:rPr>
      </w:pPr>
    </w:p>
    <w:p w14:paraId="32FE1C15" w14:textId="77777777" w:rsidR="000E6843" w:rsidRPr="0008639C" w:rsidRDefault="000E6843" w:rsidP="000E6843">
      <w:pPr>
        <w:spacing w:line="288" w:lineRule="auto"/>
        <w:rPr>
          <w:rFonts w:ascii="Calibri" w:hAnsi="Calibri"/>
          <w:b/>
          <w:sz w:val="24"/>
        </w:rPr>
      </w:pPr>
      <w:r w:rsidRPr="0008639C">
        <w:rPr>
          <w:rFonts w:ascii="Calibri" w:hAnsi="Calibri"/>
          <w:b/>
          <w:sz w:val="24"/>
        </w:rPr>
        <w:t>Přílohy</w:t>
      </w:r>
      <w:r>
        <w:rPr>
          <w:rFonts w:ascii="Calibri" w:hAnsi="Calibri"/>
          <w:b/>
          <w:sz w:val="24"/>
        </w:rPr>
        <w:t xml:space="preserve"> – dle textu</w:t>
      </w:r>
      <w:r w:rsidRPr="0008639C">
        <w:rPr>
          <w:rFonts w:ascii="Calibri" w:hAnsi="Calibri"/>
          <w:b/>
          <w:sz w:val="24"/>
        </w:rPr>
        <w:t>:</w:t>
      </w:r>
    </w:p>
    <w:p w14:paraId="59881224" w14:textId="7E767744" w:rsidR="000E6843" w:rsidRPr="00C911A0" w:rsidRDefault="000E6843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sz w:val="24"/>
        </w:rPr>
      </w:pPr>
      <w:r w:rsidRPr="00C911A0">
        <w:rPr>
          <w:rFonts w:ascii="Calibri" w:hAnsi="Calibri"/>
          <w:bCs/>
          <w:sz w:val="24"/>
        </w:rPr>
        <w:t xml:space="preserve">Žádost o informace ze dne </w:t>
      </w:r>
      <w:r w:rsidR="00633435">
        <w:rPr>
          <w:rFonts w:ascii="Calibri" w:hAnsi="Calibri"/>
          <w:bCs/>
          <w:sz w:val="24"/>
        </w:rPr>
        <w:t>16</w:t>
      </w:r>
      <w:r w:rsidRPr="00C911A0">
        <w:rPr>
          <w:rFonts w:ascii="Calibri" w:hAnsi="Calibri"/>
          <w:bCs/>
          <w:sz w:val="24"/>
        </w:rPr>
        <w:t xml:space="preserve">. </w:t>
      </w:r>
      <w:r w:rsidR="00633435">
        <w:rPr>
          <w:rFonts w:ascii="Calibri" w:hAnsi="Calibri"/>
          <w:bCs/>
          <w:sz w:val="24"/>
        </w:rPr>
        <w:t>7</w:t>
      </w:r>
      <w:r w:rsidRPr="00C911A0">
        <w:rPr>
          <w:rFonts w:ascii="Calibri" w:hAnsi="Calibri"/>
          <w:bCs/>
          <w:sz w:val="24"/>
        </w:rPr>
        <w:t xml:space="preserve">. 2019 </w:t>
      </w:r>
    </w:p>
    <w:p w14:paraId="542CD7FA" w14:textId="2BB7EABB" w:rsidR="000E6843" w:rsidRPr="00066AAA" w:rsidRDefault="000E6843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 w:rsidRPr="00C911A0">
        <w:rPr>
          <w:rFonts w:ascii="Calibri" w:hAnsi="Calibri"/>
          <w:bCs/>
          <w:sz w:val="24"/>
        </w:rPr>
        <w:t xml:space="preserve">Odpověď na žádost o informace ze dne </w:t>
      </w:r>
      <w:r w:rsidR="00633435">
        <w:rPr>
          <w:rFonts w:ascii="Calibri" w:hAnsi="Calibri"/>
          <w:bCs/>
          <w:sz w:val="24"/>
        </w:rPr>
        <w:t>24</w:t>
      </w:r>
      <w:r w:rsidRPr="00C911A0">
        <w:rPr>
          <w:rFonts w:ascii="Calibri" w:hAnsi="Calibri"/>
          <w:bCs/>
          <w:sz w:val="24"/>
        </w:rPr>
        <w:t xml:space="preserve">. </w:t>
      </w:r>
      <w:r w:rsidR="00633435">
        <w:rPr>
          <w:rFonts w:ascii="Calibri" w:hAnsi="Calibri"/>
          <w:bCs/>
          <w:sz w:val="24"/>
        </w:rPr>
        <w:t>7</w:t>
      </w:r>
      <w:r w:rsidRPr="00C911A0">
        <w:rPr>
          <w:rFonts w:ascii="Calibri" w:hAnsi="Calibri"/>
          <w:bCs/>
          <w:sz w:val="24"/>
        </w:rPr>
        <w:t>. 2019</w:t>
      </w:r>
    </w:p>
    <w:p w14:paraId="5766770C" w14:textId="6EC0D958" w:rsidR="000E6843" w:rsidRDefault="00633435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Doplnění žádosti o informace</w:t>
      </w:r>
      <w:r w:rsidR="000E6843" w:rsidRPr="00C911A0">
        <w:rPr>
          <w:rFonts w:ascii="Calibri" w:hAnsi="Calibri"/>
          <w:bCs/>
          <w:sz w:val="24"/>
        </w:rPr>
        <w:t xml:space="preserve"> ze dne </w:t>
      </w:r>
      <w:r>
        <w:rPr>
          <w:rFonts w:ascii="Calibri" w:hAnsi="Calibri"/>
          <w:bCs/>
          <w:sz w:val="24"/>
        </w:rPr>
        <w:t>29</w:t>
      </w:r>
      <w:r w:rsidR="000E6843" w:rsidRPr="00C911A0">
        <w:rPr>
          <w:rFonts w:ascii="Calibri" w:hAnsi="Calibri"/>
          <w:bCs/>
          <w:sz w:val="24"/>
        </w:rPr>
        <w:t xml:space="preserve">. </w:t>
      </w:r>
      <w:r>
        <w:rPr>
          <w:rFonts w:ascii="Calibri" w:hAnsi="Calibri"/>
          <w:bCs/>
          <w:sz w:val="24"/>
        </w:rPr>
        <w:t>7</w:t>
      </w:r>
      <w:r w:rsidR="000E6843" w:rsidRPr="00C911A0">
        <w:rPr>
          <w:rFonts w:ascii="Calibri" w:hAnsi="Calibri"/>
          <w:bCs/>
          <w:sz w:val="24"/>
        </w:rPr>
        <w:t>. 2019</w:t>
      </w:r>
    </w:p>
    <w:p w14:paraId="2CA0B8F3" w14:textId="13C095E0" w:rsidR="000E6843" w:rsidRDefault="000E6843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 w:rsidRPr="00C911A0">
        <w:rPr>
          <w:rFonts w:ascii="Calibri" w:hAnsi="Calibri"/>
          <w:bCs/>
          <w:sz w:val="24"/>
        </w:rPr>
        <w:t xml:space="preserve">Odpověď na </w:t>
      </w:r>
      <w:r w:rsidR="00633435">
        <w:rPr>
          <w:rFonts w:ascii="Calibri" w:hAnsi="Calibri"/>
          <w:bCs/>
          <w:sz w:val="24"/>
        </w:rPr>
        <w:t>žádost o informace ze dne 13. 8. 2019</w:t>
      </w:r>
    </w:p>
    <w:p w14:paraId="2CE3FCB9" w14:textId="56255394" w:rsidR="00270BD5" w:rsidRDefault="00633435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 w:rsidRPr="00633435">
        <w:rPr>
          <w:rFonts w:ascii="Calibri" w:hAnsi="Calibri"/>
          <w:bCs/>
          <w:sz w:val="24"/>
        </w:rPr>
        <w:t>Stížnost na postup při vyřizování žádosti o informace ze dne 12. 9. 2019</w:t>
      </w:r>
    </w:p>
    <w:p w14:paraId="49FB10C8" w14:textId="61153F88" w:rsidR="00633435" w:rsidRDefault="00633435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Rozhodnutí o</w:t>
      </w:r>
      <w:r w:rsidRPr="00633435">
        <w:rPr>
          <w:rFonts w:ascii="Calibri" w:hAnsi="Calibri"/>
          <w:bCs/>
          <w:sz w:val="24"/>
        </w:rPr>
        <w:t xml:space="preserve"> stížnost</w:t>
      </w:r>
      <w:r>
        <w:rPr>
          <w:rFonts w:ascii="Calibri" w:hAnsi="Calibri"/>
          <w:bCs/>
          <w:sz w:val="24"/>
        </w:rPr>
        <w:t>i</w:t>
      </w:r>
      <w:r w:rsidRPr="00633435">
        <w:rPr>
          <w:rFonts w:ascii="Calibri" w:hAnsi="Calibri"/>
          <w:bCs/>
          <w:sz w:val="24"/>
        </w:rPr>
        <w:t xml:space="preserve"> ze dne 9. 10. 2019</w:t>
      </w:r>
    </w:p>
    <w:p w14:paraId="416312C2" w14:textId="77777777" w:rsidR="00AF5C3D" w:rsidRPr="00066AAA" w:rsidRDefault="00AF5C3D" w:rsidP="000E6843">
      <w:pPr>
        <w:numPr>
          <w:ilvl w:val="0"/>
          <w:numId w:val="2"/>
        </w:numPr>
        <w:tabs>
          <w:tab w:val="left" w:pos="1701"/>
          <w:tab w:val="left" w:pos="1843"/>
        </w:tabs>
        <w:spacing w:line="288" w:lineRule="auto"/>
        <w:ind w:firstLine="698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Plná moc a osvědčení plátce DPH</w:t>
      </w:r>
    </w:p>
    <w:p w14:paraId="10D3763E" w14:textId="77777777" w:rsidR="00693E55" w:rsidRDefault="00693E55" w:rsidP="000E6843">
      <w:pPr>
        <w:spacing w:line="288" w:lineRule="auto"/>
        <w:ind w:left="720"/>
        <w:rPr>
          <w:rFonts w:ascii="Calibri" w:hAnsi="Calibri"/>
          <w:sz w:val="24"/>
        </w:rPr>
      </w:pPr>
    </w:p>
    <w:p w14:paraId="6468A7A1" w14:textId="77777777" w:rsidR="00A81B43" w:rsidRPr="00C911A0" w:rsidRDefault="00A81B43" w:rsidP="000E6843">
      <w:pPr>
        <w:spacing w:line="288" w:lineRule="auto"/>
        <w:ind w:left="720"/>
        <w:rPr>
          <w:rFonts w:ascii="Calibri" w:hAnsi="Calibri"/>
          <w:sz w:val="24"/>
        </w:rPr>
      </w:pPr>
    </w:p>
    <w:p w14:paraId="1B6BF33B" w14:textId="77777777" w:rsidR="000E6843" w:rsidRPr="00C911A0" w:rsidRDefault="000E6843" w:rsidP="00A81B43">
      <w:pPr>
        <w:keepNext/>
        <w:numPr>
          <w:ilvl w:val="0"/>
          <w:numId w:val="3"/>
        </w:numPr>
        <w:spacing w:line="288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ÚVOD</w:t>
      </w:r>
    </w:p>
    <w:p w14:paraId="175ED595" w14:textId="77777777" w:rsidR="000E6843" w:rsidRPr="00C911A0" w:rsidRDefault="000E6843" w:rsidP="00A81B43">
      <w:pPr>
        <w:keepNext/>
        <w:spacing w:line="288" w:lineRule="auto"/>
        <w:rPr>
          <w:rFonts w:ascii="Calibri" w:hAnsi="Calibri"/>
          <w:sz w:val="24"/>
        </w:rPr>
      </w:pPr>
    </w:p>
    <w:p w14:paraId="21F1B02F" w14:textId="75946D70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  <w:r w:rsidRPr="00633435">
        <w:rPr>
          <w:rFonts w:ascii="Calibri" w:hAnsi="Calibri"/>
          <w:sz w:val="24"/>
        </w:rPr>
        <w:t xml:space="preserve">Žalobce jakožto poslanec Parlamentu ČR podal dne 16. 7. 2019 do datové schránky Úřadu vlády žádost o informace </w:t>
      </w:r>
      <w:r>
        <w:rPr>
          <w:rFonts w:ascii="Calibri" w:hAnsi="Calibri"/>
          <w:sz w:val="24"/>
        </w:rPr>
        <w:t xml:space="preserve">(viz </w:t>
      </w:r>
      <w:r w:rsidRPr="00633435">
        <w:rPr>
          <w:rFonts w:ascii="Calibri" w:hAnsi="Calibri"/>
          <w:sz w:val="24"/>
          <w:u w:val="single"/>
        </w:rPr>
        <w:t>Přílohu č. 1</w:t>
      </w:r>
      <w:r>
        <w:rPr>
          <w:rFonts w:ascii="Calibri" w:hAnsi="Calibri"/>
          <w:sz w:val="24"/>
        </w:rPr>
        <w:t xml:space="preserve">) </w:t>
      </w:r>
      <w:r w:rsidRPr="00633435">
        <w:rPr>
          <w:rFonts w:ascii="Calibri" w:hAnsi="Calibri"/>
          <w:sz w:val="24"/>
        </w:rPr>
        <w:t>podl</w:t>
      </w:r>
      <w:r>
        <w:rPr>
          <w:rFonts w:ascii="Calibri" w:hAnsi="Calibri"/>
          <w:sz w:val="24"/>
        </w:rPr>
        <w:t>e § 11 zákona č. 90/1995 Sb., o </w:t>
      </w:r>
      <w:r w:rsidRPr="00633435">
        <w:rPr>
          <w:rFonts w:ascii="Calibri" w:hAnsi="Calibri"/>
          <w:sz w:val="24"/>
        </w:rPr>
        <w:t>jednacím řádu Poslanecké sněmovny (dále jen „</w:t>
      </w:r>
      <w:r w:rsidRPr="00633435">
        <w:rPr>
          <w:rFonts w:ascii="Calibri" w:hAnsi="Calibri"/>
          <w:b/>
          <w:sz w:val="24"/>
        </w:rPr>
        <w:t>jednací řád PS</w:t>
      </w:r>
      <w:r w:rsidRPr="00633435">
        <w:rPr>
          <w:rFonts w:ascii="Calibri" w:hAnsi="Calibri"/>
          <w:sz w:val="24"/>
        </w:rPr>
        <w:t xml:space="preserve">“) a současně </w:t>
      </w:r>
      <w:r>
        <w:rPr>
          <w:rFonts w:ascii="Calibri" w:hAnsi="Calibri"/>
          <w:sz w:val="24"/>
        </w:rPr>
        <w:t>podle zákona č. 106/1999 Sb., o </w:t>
      </w:r>
      <w:r w:rsidRPr="00633435">
        <w:rPr>
          <w:rFonts w:ascii="Calibri" w:hAnsi="Calibri"/>
          <w:sz w:val="24"/>
        </w:rPr>
        <w:t>svobodném přístupu k informacím (dále jen „</w:t>
      </w:r>
      <w:proofErr w:type="spellStart"/>
      <w:r w:rsidRPr="00633435">
        <w:rPr>
          <w:rFonts w:ascii="Calibri" w:hAnsi="Calibri"/>
          <w:b/>
          <w:sz w:val="24"/>
        </w:rPr>
        <w:t>InfZ</w:t>
      </w:r>
      <w:proofErr w:type="spellEnd"/>
      <w:r w:rsidRPr="00633435">
        <w:rPr>
          <w:rFonts w:ascii="Calibri" w:hAnsi="Calibri"/>
          <w:sz w:val="24"/>
        </w:rPr>
        <w:t>“ nebo „</w:t>
      </w:r>
      <w:r w:rsidRPr="00633435">
        <w:rPr>
          <w:rFonts w:ascii="Calibri" w:hAnsi="Calibri"/>
          <w:b/>
          <w:sz w:val="24"/>
        </w:rPr>
        <w:t>informační zákon</w:t>
      </w:r>
      <w:r>
        <w:rPr>
          <w:rFonts w:ascii="Calibri" w:hAnsi="Calibri"/>
          <w:sz w:val="24"/>
        </w:rPr>
        <w:t>“)</w:t>
      </w:r>
      <w:r w:rsidRPr="00633435">
        <w:rPr>
          <w:rFonts w:ascii="Calibri" w:hAnsi="Calibri"/>
          <w:sz w:val="24"/>
        </w:rPr>
        <w:t>. Žádost se týkala úplného výstupu ze Systému pro sledování plnění úkolů z Programového prohlášení vlády (dále jen „</w:t>
      </w:r>
      <w:r w:rsidRPr="00633435">
        <w:rPr>
          <w:rFonts w:ascii="Calibri" w:hAnsi="Calibri"/>
          <w:b/>
          <w:sz w:val="24"/>
        </w:rPr>
        <w:t>informace</w:t>
      </w:r>
      <w:r w:rsidRPr="00633435">
        <w:rPr>
          <w:rFonts w:ascii="Calibri" w:hAnsi="Calibri"/>
          <w:sz w:val="24"/>
        </w:rPr>
        <w:t>“). V odpovědi ze dne 24. 7. 2019</w:t>
      </w:r>
      <w:r w:rsidR="009913C6">
        <w:rPr>
          <w:rFonts w:ascii="Calibri" w:hAnsi="Calibri"/>
          <w:sz w:val="24"/>
        </w:rPr>
        <w:t>, č. j. 23568/2019-UVCR-3</w:t>
      </w:r>
      <w:r w:rsidRPr="00633435">
        <w:rPr>
          <w:rFonts w:ascii="Calibri" w:hAnsi="Calibri"/>
          <w:sz w:val="24"/>
        </w:rPr>
        <w:t xml:space="preserve"> </w:t>
      </w:r>
      <w:r w:rsidR="009913C6">
        <w:rPr>
          <w:rFonts w:ascii="Calibri" w:hAnsi="Calibri"/>
          <w:sz w:val="24"/>
        </w:rPr>
        <w:t xml:space="preserve">(viz </w:t>
      </w:r>
      <w:r w:rsidR="009913C6" w:rsidRPr="009913C6">
        <w:rPr>
          <w:rFonts w:ascii="Calibri" w:hAnsi="Calibri"/>
          <w:sz w:val="24"/>
          <w:u w:val="single"/>
        </w:rPr>
        <w:t>Přílohu č. 2</w:t>
      </w:r>
      <w:r w:rsidR="009913C6">
        <w:rPr>
          <w:rFonts w:ascii="Calibri" w:hAnsi="Calibri"/>
          <w:sz w:val="24"/>
        </w:rPr>
        <w:t xml:space="preserve">) </w:t>
      </w:r>
      <w:r w:rsidRPr="00633435">
        <w:rPr>
          <w:rFonts w:ascii="Calibri" w:hAnsi="Calibri"/>
          <w:sz w:val="24"/>
        </w:rPr>
        <w:t xml:space="preserve">byl žalobce vyzván </w:t>
      </w:r>
      <w:r>
        <w:rPr>
          <w:rFonts w:ascii="Calibri" w:hAnsi="Calibri"/>
          <w:sz w:val="24"/>
        </w:rPr>
        <w:t>k</w:t>
      </w:r>
      <w:r w:rsidRPr="00633435">
        <w:rPr>
          <w:rFonts w:ascii="Calibri" w:hAnsi="Calibri"/>
          <w:sz w:val="24"/>
        </w:rPr>
        <w:t xml:space="preserve"> upřesnění, zda žádá o poskytnutí informace v režimu informačního zákona nebo dle jednacího řádu PS. Žalobce na tuto výzvu odpověděl dne 29. 7. 2019 </w:t>
      </w:r>
      <w:r w:rsidR="00B66CE5">
        <w:rPr>
          <w:rFonts w:ascii="Calibri" w:hAnsi="Calibri"/>
          <w:sz w:val="24"/>
        </w:rPr>
        <w:t xml:space="preserve">(viz </w:t>
      </w:r>
      <w:r w:rsidR="00B66CE5" w:rsidRPr="00B66CE5">
        <w:rPr>
          <w:rFonts w:ascii="Calibri" w:hAnsi="Calibri"/>
          <w:sz w:val="24"/>
          <w:u w:val="single"/>
        </w:rPr>
        <w:t>Přílohu č. 3</w:t>
      </w:r>
      <w:r w:rsidR="00B66CE5">
        <w:rPr>
          <w:rFonts w:ascii="Calibri" w:hAnsi="Calibri"/>
          <w:sz w:val="24"/>
        </w:rPr>
        <w:t xml:space="preserve">) </w:t>
      </w:r>
      <w:r w:rsidRPr="00633435">
        <w:rPr>
          <w:rFonts w:ascii="Calibri" w:hAnsi="Calibri"/>
          <w:sz w:val="24"/>
        </w:rPr>
        <w:t>tak, že žádá dle jednacího řádu PS, přičemž uvedl, že na tuto žádost lze vztáhnout procesní úpravu informačního zákona. Tento svůj závěr žalobce opřel o judikaturu Nejvyššího správního soudu a dále trval na poskytnutí informace.</w:t>
      </w:r>
    </w:p>
    <w:p w14:paraId="5000C7F3" w14:textId="77777777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</w:p>
    <w:p w14:paraId="49039D0E" w14:textId="3469F8F5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  <w:r w:rsidRPr="00633435">
        <w:rPr>
          <w:rFonts w:ascii="Calibri" w:hAnsi="Calibri"/>
          <w:sz w:val="24"/>
        </w:rPr>
        <w:t>Dne 20. 8. 2019 byla žalobci doručena odpověď ze dne 13. 8. 2019, č</w:t>
      </w:r>
      <w:r w:rsidR="00B66CE5">
        <w:rPr>
          <w:rFonts w:ascii="Calibri" w:hAnsi="Calibri"/>
          <w:sz w:val="24"/>
        </w:rPr>
        <w:t xml:space="preserve">. </w:t>
      </w:r>
      <w:r w:rsidRPr="00633435">
        <w:rPr>
          <w:rFonts w:ascii="Calibri" w:hAnsi="Calibri"/>
          <w:sz w:val="24"/>
        </w:rPr>
        <w:t>j. 23568/2019-UVCR-6</w:t>
      </w:r>
      <w:r w:rsidR="00B66CE5">
        <w:rPr>
          <w:rFonts w:ascii="Calibri" w:hAnsi="Calibri"/>
          <w:sz w:val="24"/>
        </w:rPr>
        <w:t xml:space="preserve"> (viz </w:t>
      </w:r>
      <w:r w:rsidR="00B66CE5" w:rsidRPr="00B66CE5">
        <w:rPr>
          <w:rFonts w:ascii="Calibri" w:hAnsi="Calibri"/>
          <w:sz w:val="24"/>
          <w:u w:val="single"/>
        </w:rPr>
        <w:t>Přílohu č. 4</w:t>
      </w:r>
      <w:r w:rsidR="00B66CE5">
        <w:rPr>
          <w:rFonts w:ascii="Calibri" w:hAnsi="Calibri"/>
          <w:sz w:val="24"/>
        </w:rPr>
        <w:t>)</w:t>
      </w:r>
      <w:r w:rsidRPr="00633435">
        <w:rPr>
          <w:rFonts w:ascii="Calibri" w:hAnsi="Calibri"/>
          <w:sz w:val="24"/>
        </w:rPr>
        <w:t xml:space="preserve">, v níž žalovaný poskytl písemnou odpověď předsedy vlády </w:t>
      </w:r>
      <w:r w:rsidR="00B66CE5">
        <w:rPr>
          <w:rFonts w:ascii="Calibri" w:hAnsi="Calibri"/>
          <w:sz w:val="24"/>
        </w:rPr>
        <w:t xml:space="preserve">ze dne 31. 7. 2019 </w:t>
      </w:r>
      <w:r w:rsidRPr="00633435">
        <w:rPr>
          <w:rFonts w:ascii="Calibri" w:hAnsi="Calibri"/>
          <w:sz w:val="24"/>
        </w:rPr>
        <w:t>na interpelaci žalobce</w:t>
      </w:r>
      <w:r>
        <w:rPr>
          <w:rFonts w:ascii="Calibri" w:hAnsi="Calibri"/>
          <w:sz w:val="24"/>
        </w:rPr>
        <w:t>,</w:t>
      </w:r>
      <w:r w:rsidRPr="00633435">
        <w:rPr>
          <w:rFonts w:ascii="Calibri" w:hAnsi="Calibri"/>
          <w:sz w:val="24"/>
        </w:rPr>
        <w:t xml:space="preserve"> týkající se plnění programového prohlášení vlády. Tato odpověď neobsahovala žalobcem požadované informace. Žádost se totiž týkala poskytnutí úplného výstupu ze Systému pro sledování plnění úkolů z Programového prohlášení vlády. Žalobci však byl poskytnut pouze stručný popis tohoto systému, nikoli obsahový výstup z něho, jak žalobce požadoval.</w:t>
      </w:r>
    </w:p>
    <w:p w14:paraId="2AACEB84" w14:textId="77777777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</w:p>
    <w:p w14:paraId="46D40117" w14:textId="296F4E17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  <w:r w:rsidRPr="00633435">
        <w:rPr>
          <w:rFonts w:ascii="Calibri" w:hAnsi="Calibri"/>
          <w:sz w:val="24"/>
        </w:rPr>
        <w:t xml:space="preserve">Protože odpověď ze strany žalovaného měl žalobce </w:t>
      </w:r>
      <w:r w:rsidR="00B76862">
        <w:rPr>
          <w:rFonts w:ascii="Calibri" w:hAnsi="Calibri"/>
          <w:sz w:val="24"/>
        </w:rPr>
        <w:t>za informaci poskytnutou pouze částečně a </w:t>
      </w:r>
      <w:r w:rsidRPr="00633435">
        <w:rPr>
          <w:rFonts w:ascii="Calibri" w:hAnsi="Calibri"/>
          <w:sz w:val="24"/>
        </w:rPr>
        <w:t xml:space="preserve">o zbytku žádosti nebylo vydáno rozhodnutí o odmítnutí, podal </w:t>
      </w:r>
      <w:r w:rsidR="00B76862">
        <w:rPr>
          <w:rFonts w:ascii="Calibri" w:hAnsi="Calibri"/>
          <w:sz w:val="24"/>
        </w:rPr>
        <w:t>žalobce dne 12. 9. </w:t>
      </w:r>
      <w:r w:rsidRPr="00633435">
        <w:rPr>
          <w:rFonts w:ascii="Calibri" w:hAnsi="Calibri"/>
          <w:sz w:val="24"/>
        </w:rPr>
        <w:t xml:space="preserve">2019 stížnost na postup při vyřizování žádosti o informace </w:t>
      </w:r>
      <w:r w:rsidR="00B66CE5">
        <w:rPr>
          <w:rFonts w:ascii="Calibri" w:hAnsi="Calibri"/>
          <w:sz w:val="24"/>
        </w:rPr>
        <w:t xml:space="preserve">(viz </w:t>
      </w:r>
      <w:r w:rsidR="00B66CE5" w:rsidRPr="00B66CE5">
        <w:rPr>
          <w:rFonts w:ascii="Calibri" w:hAnsi="Calibri"/>
          <w:sz w:val="24"/>
          <w:u w:val="single"/>
        </w:rPr>
        <w:t>Přílohu č. 5</w:t>
      </w:r>
      <w:r w:rsidR="00B66CE5">
        <w:rPr>
          <w:rFonts w:ascii="Calibri" w:hAnsi="Calibri"/>
          <w:sz w:val="24"/>
        </w:rPr>
        <w:t xml:space="preserve">) </w:t>
      </w:r>
      <w:r w:rsidRPr="00633435">
        <w:rPr>
          <w:rFonts w:ascii="Calibri" w:hAnsi="Calibri"/>
          <w:sz w:val="24"/>
        </w:rPr>
        <w:t>s požadavkem, aby mu byla informace poskytnuta ve formě a rozsahu, jak je vymezil ve své žádosti.</w:t>
      </w:r>
    </w:p>
    <w:p w14:paraId="4E3ABCE6" w14:textId="77777777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</w:p>
    <w:p w14:paraId="3E6DB2D3" w14:textId="3FD354F7" w:rsidR="00633435" w:rsidRPr="00633435" w:rsidRDefault="00633435" w:rsidP="00633435">
      <w:pPr>
        <w:spacing w:line="288" w:lineRule="auto"/>
        <w:ind w:firstLine="708"/>
        <w:jc w:val="both"/>
        <w:rPr>
          <w:rFonts w:ascii="Calibri" w:hAnsi="Calibri"/>
          <w:sz w:val="24"/>
        </w:rPr>
      </w:pPr>
      <w:r w:rsidRPr="00633435">
        <w:rPr>
          <w:rFonts w:ascii="Calibri" w:hAnsi="Calibri"/>
          <w:sz w:val="24"/>
        </w:rPr>
        <w:t xml:space="preserve">Na tento opravný prostředek reagoval předseda vlády </w:t>
      </w:r>
      <w:r w:rsidR="00B76862">
        <w:rPr>
          <w:rFonts w:ascii="Calibri" w:hAnsi="Calibri"/>
          <w:sz w:val="24"/>
        </w:rPr>
        <w:t>odpovědí</w:t>
      </w:r>
      <w:r w:rsidRPr="00633435">
        <w:rPr>
          <w:rFonts w:ascii="Calibri" w:hAnsi="Calibri"/>
          <w:sz w:val="24"/>
        </w:rPr>
        <w:t xml:space="preserve"> ze dne 9. 10. 2019</w:t>
      </w:r>
      <w:r w:rsidR="00B66CE5">
        <w:rPr>
          <w:rFonts w:ascii="Calibri" w:hAnsi="Calibri"/>
          <w:sz w:val="24"/>
        </w:rPr>
        <w:t xml:space="preserve">, č. j. 28948/2019-UVCR (viz </w:t>
      </w:r>
      <w:r w:rsidR="00B66CE5" w:rsidRPr="00B66CE5">
        <w:rPr>
          <w:rFonts w:ascii="Calibri" w:hAnsi="Calibri"/>
          <w:sz w:val="24"/>
          <w:u w:val="single"/>
        </w:rPr>
        <w:t>Přílohu č. 6</w:t>
      </w:r>
      <w:r w:rsidR="00B66CE5">
        <w:rPr>
          <w:rFonts w:ascii="Calibri" w:hAnsi="Calibri"/>
          <w:sz w:val="24"/>
        </w:rPr>
        <w:t>)</w:t>
      </w:r>
      <w:r w:rsidRPr="00633435">
        <w:rPr>
          <w:rFonts w:ascii="Calibri" w:hAnsi="Calibri"/>
          <w:sz w:val="24"/>
        </w:rPr>
        <w:t>, která byla žalobci doručena dne 11. 10. 2019</w:t>
      </w:r>
      <w:r w:rsidR="00B76862">
        <w:rPr>
          <w:rFonts w:ascii="Calibri" w:hAnsi="Calibri"/>
          <w:sz w:val="24"/>
        </w:rPr>
        <w:t>,</w:t>
      </w:r>
      <w:r w:rsidRPr="00633435">
        <w:rPr>
          <w:rFonts w:ascii="Calibri" w:hAnsi="Calibri"/>
          <w:sz w:val="24"/>
        </w:rPr>
        <w:t xml:space="preserve"> </w:t>
      </w:r>
      <w:r w:rsidR="00B76862">
        <w:rPr>
          <w:rFonts w:ascii="Calibri" w:hAnsi="Calibri"/>
          <w:sz w:val="24"/>
        </w:rPr>
        <w:t xml:space="preserve">a to </w:t>
      </w:r>
      <w:r w:rsidRPr="00633435">
        <w:rPr>
          <w:rFonts w:ascii="Calibri" w:hAnsi="Calibri"/>
          <w:sz w:val="24"/>
        </w:rPr>
        <w:t xml:space="preserve">tak, že postup žalovaného potvrdil s odůvodněním, že systém slouží pro interní potřeby vlády. Proti této reakci, kterou lze dle jejího obsahu považovat za rozhodnutí o potvrzení </w:t>
      </w:r>
      <w:r w:rsidRPr="00633435">
        <w:rPr>
          <w:rFonts w:ascii="Calibri" w:hAnsi="Calibri"/>
          <w:sz w:val="24"/>
        </w:rPr>
        <w:lastRenderedPageBreak/>
        <w:t xml:space="preserve">postupu povinného subjektu dle § 16a odst. 6 písm. a) </w:t>
      </w:r>
      <w:proofErr w:type="spellStart"/>
      <w:r w:rsidRPr="00633435">
        <w:rPr>
          <w:rFonts w:ascii="Calibri" w:hAnsi="Calibri"/>
          <w:sz w:val="24"/>
        </w:rPr>
        <w:t>InfZ</w:t>
      </w:r>
      <w:proofErr w:type="spellEnd"/>
      <w:r w:rsidRPr="00633435">
        <w:rPr>
          <w:rFonts w:ascii="Calibri" w:hAnsi="Calibri"/>
          <w:sz w:val="24"/>
        </w:rPr>
        <w:t xml:space="preserve">, podává žalobce </w:t>
      </w:r>
      <w:r w:rsidR="00B76862">
        <w:rPr>
          <w:rFonts w:ascii="Calibri" w:hAnsi="Calibri"/>
          <w:sz w:val="24"/>
        </w:rPr>
        <w:t xml:space="preserve">tuto </w:t>
      </w:r>
      <w:r w:rsidRPr="00633435">
        <w:rPr>
          <w:rFonts w:ascii="Calibri" w:hAnsi="Calibri"/>
          <w:sz w:val="24"/>
        </w:rPr>
        <w:t>správní žalobu.</w:t>
      </w:r>
    </w:p>
    <w:p w14:paraId="64E96904" w14:textId="77777777" w:rsidR="000E6843" w:rsidRDefault="000E6843" w:rsidP="000E6843">
      <w:pPr>
        <w:spacing w:line="288" w:lineRule="auto"/>
        <w:ind w:firstLine="708"/>
        <w:jc w:val="both"/>
        <w:rPr>
          <w:rFonts w:ascii="Calibri" w:hAnsi="Calibri"/>
          <w:sz w:val="24"/>
        </w:rPr>
      </w:pPr>
    </w:p>
    <w:p w14:paraId="1DF3AF4C" w14:textId="77777777" w:rsidR="00A81B43" w:rsidRPr="00C911A0" w:rsidRDefault="00A81B43" w:rsidP="000E6843">
      <w:pPr>
        <w:spacing w:line="288" w:lineRule="auto"/>
        <w:ind w:firstLine="708"/>
        <w:jc w:val="both"/>
        <w:rPr>
          <w:rFonts w:ascii="Calibri" w:hAnsi="Calibri"/>
          <w:sz w:val="24"/>
        </w:rPr>
      </w:pPr>
    </w:p>
    <w:p w14:paraId="696E9AC3" w14:textId="77777777" w:rsidR="000E6843" w:rsidRPr="00183BCC" w:rsidRDefault="000E6843" w:rsidP="00693E55">
      <w:pPr>
        <w:keepNext/>
        <w:numPr>
          <w:ilvl w:val="0"/>
          <w:numId w:val="3"/>
        </w:numPr>
        <w:spacing w:line="288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ŽALOBNÍ BODY</w:t>
      </w:r>
    </w:p>
    <w:p w14:paraId="533422A6" w14:textId="77777777" w:rsidR="000E6843" w:rsidRPr="00C911A0" w:rsidRDefault="000E6843" w:rsidP="00693E55">
      <w:pPr>
        <w:keepNext/>
        <w:spacing w:line="288" w:lineRule="auto"/>
        <w:rPr>
          <w:rFonts w:ascii="Calibri" w:hAnsi="Calibri"/>
          <w:b/>
          <w:bCs/>
          <w:sz w:val="24"/>
        </w:rPr>
      </w:pPr>
    </w:p>
    <w:p w14:paraId="4C1FAA79" w14:textId="77777777" w:rsidR="00E85EA0" w:rsidRPr="00E85EA0" w:rsidRDefault="000E6843" w:rsidP="00E85EA0">
      <w:pPr>
        <w:spacing w:line="288" w:lineRule="auto"/>
        <w:jc w:val="both"/>
        <w:rPr>
          <w:rFonts w:ascii="Calibri" w:hAnsi="Calibri"/>
          <w:sz w:val="24"/>
        </w:rPr>
      </w:pPr>
      <w:r w:rsidRPr="00C911A0">
        <w:rPr>
          <w:rFonts w:ascii="Calibri" w:hAnsi="Calibri"/>
          <w:b/>
          <w:bCs/>
          <w:sz w:val="24"/>
        </w:rPr>
        <w:tab/>
      </w:r>
      <w:r w:rsidR="00E85EA0" w:rsidRPr="00E85EA0">
        <w:rPr>
          <w:rFonts w:ascii="Calibri" w:hAnsi="Calibri"/>
          <w:sz w:val="24"/>
        </w:rPr>
        <w:t>Žalobce namítá, že pro odepření informace není zákonný důvod, protože jejímu poskytnutí nebrání zákony upravující mlčenlivost nebo zákaz zveřejnění ve smyslu § 11 odst. 2 jednacího řádu Poslanecké sněmovny, což koneckonců žalovaný ani netvrdil. Přitom žádný jiný legální titul pro odmítnutí žádosti o informace v jednacím řádu Poslanecké sněmovny stanoven není. Žalovaný navíc žádný zákonný důvod pro odmítnutí žádosti neuvedl, což již bez dalšího činí jeho rozhodnutí nezákonným.</w:t>
      </w:r>
    </w:p>
    <w:p w14:paraId="75DBC716" w14:textId="77777777" w:rsidR="00E85EA0" w:rsidRPr="00E85EA0" w:rsidRDefault="00E85EA0" w:rsidP="00E85EA0">
      <w:pPr>
        <w:spacing w:line="288" w:lineRule="auto"/>
        <w:jc w:val="both"/>
        <w:rPr>
          <w:rFonts w:ascii="Calibri" w:hAnsi="Calibri"/>
          <w:sz w:val="24"/>
        </w:rPr>
      </w:pPr>
      <w:bookmarkStart w:id="0" w:name="_GoBack"/>
      <w:bookmarkEnd w:id="0"/>
    </w:p>
    <w:p w14:paraId="0B717CC0" w14:textId="33030623" w:rsidR="00E85EA0" w:rsidRPr="00E85EA0" w:rsidRDefault="00C07E7F" w:rsidP="00E85EA0">
      <w:pPr>
        <w:spacing w:line="288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E85EA0" w:rsidRPr="00E85EA0">
        <w:rPr>
          <w:rFonts w:ascii="Calibri" w:hAnsi="Calibri"/>
          <w:sz w:val="24"/>
        </w:rPr>
        <w:t xml:space="preserve">Žalobce vychází </w:t>
      </w:r>
      <w:r>
        <w:rPr>
          <w:rFonts w:ascii="Calibri" w:hAnsi="Calibri"/>
          <w:sz w:val="24"/>
        </w:rPr>
        <w:t xml:space="preserve">mj. </w:t>
      </w:r>
      <w:r w:rsidR="00E85EA0" w:rsidRPr="00E85EA0">
        <w:rPr>
          <w:rFonts w:ascii="Calibri" w:hAnsi="Calibri"/>
          <w:sz w:val="24"/>
        </w:rPr>
        <w:t>z rozsudku Nejvyššího správního so</w:t>
      </w:r>
      <w:r>
        <w:rPr>
          <w:rFonts w:ascii="Calibri" w:hAnsi="Calibri"/>
          <w:sz w:val="24"/>
        </w:rPr>
        <w:t>udu ze dne 19. 2. 2013, č. j. 8 </w:t>
      </w:r>
      <w:proofErr w:type="spellStart"/>
      <w:r w:rsidR="00E85EA0" w:rsidRPr="00E85EA0">
        <w:rPr>
          <w:rFonts w:ascii="Calibri" w:hAnsi="Calibri"/>
          <w:sz w:val="24"/>
        </w:rPr>
        <w:t>Aps</w:t>
      </w:r>
      <w:proofErr w:type="spellEnd"/>
      <w:r w:rsidR="00E85EA0" w:rsidRPr="00E85EA0">
        <w:rPr>
          <w:rFonts w:ascii="Calibri" w:hAnsi="Calibri"/>
          <w:sz w:val="24"/>
        </w:rPr>
        <w:t xml:space="preserve"> 5/2012-47, dle kterého pro poskytování informa</w:t>
      </w:r>
      <w:r>
        <w:rPr>
          <w:rFonts w:ascii="Calibri" w:hAnsi="Calibri"/>
          <w:sz w:val="24"/>
        </w:rPr>
        <w:t>cí členům zastupitelstva obce v </w:t>
      </w:r>
      <w:r w:rsidR="00E85EA0" w:rsidRPr="00E85EA0">
        <w:rPr>
          <w:rFonts w:ascii="Calibri" w:hAnsi="Calibri"/>
          <w:sz w:val="24"/>
        </w:rPr>
        <w:t xml:space="preserve">režimu zákona č. 128/2000 Sb., o obcích, je třeba použít procesní úpravu obsaženou v informačním zákoně, je-li povinný subjekt podle zákona o obcích zároveň povinným subjektem podle informačního zákona. </w:t>
      </w:r>
      <w:r>
        <w:rPr>
          <w:rFonts w:ascii="Calibri" w:hAnsi="Calibri"/>
          <w:sz w:val="24"/>
        </w:rPr>
        <w:t>Podle názoru</w:t>
      </w:r>
      <w:r w:rsidR="00E85EA0" w:rsidRPr="00E85EA0">
        <w:rPr>
          <w:rFonts w:ascii="Calibri" w:hAnsi="Calibri"/>
          <w:sz w:val="24"/>
        </w:rPr>
        <w:t xml:space="preserve"> žalobce lze tento právní z</w:t>
      </w:r>
      <w:r>
        <w:rPr>
          <w:rFonts w:ascii="Calibri" w:hAnsi="Calibri"/>
          <w:sz w:val="24"/>
        </w:rPr>
        <w:t>ávěr NSS analogicky vztáhnout i </w:t>
      </w:r>
      <w:r w:rsidR="00E85EA0" w:rsidRPr="00E85EA0">
        <w:rPr>
          <w:rFonts w:ascii="Calibri" w:hAnsi="Calibri"/>
          <w:sz w:val="24"/>
        </w:rPr>
        <w:t xml:space="preserve">na poskytování informací od členů vlády (resp. vlády samotné) poslancům, neboť informační zákon je jediný komplexní právní předpis s tímto předmětem úpravy. Žalobce přitom vychází z ustanovení § 2 odst. 3 </w:t>
      </w:r>
      <w:proofErr w:type="spellStart"/>
      <w:r w:rsidR="00E85EA0" w:rsidRPr="00E85EA0">
        <w:rPr>
          <w:rFonts w:ascii="Calibri" w:hAnsi="Calibri"/>
          <w:sz w:val="24"/>
        </w:rPr>
        <w:t>InfZ</w:t>
      </w:r>
      <w:proofErr w:type="spellEnd"/>
      <w:r w:rsidR="00E85EA0" w:rsidRPr="00E85EA0">
        <w:rPr>
          <w:rFonts w:ascii="Calibri" w:hAnsi="Calibri"/>
          <w:sz w:val="24"/>
        </w:rPr>
        <w:t>, z nějž ve spojení se zmíněným rozsudkem NSS analogicky plyne, že procesní úpravu informačního zák</w:t>
      </w:r>
      <w:r>
        <w:rPr>
          <w:rFonts w:ascii="Calibri" w:hAnsi="Calibri"/>
          <w:sz w:val="24"/>
        </w:rPr>
        <w:t>ona lze vztáhnout i na žádost o </w:t>
      </w:r>
      <w:r w:rsidR="00E85EA0" w:rsidRPr="00E85EA0">
        <w:rPr>
          <w:rFonts w:ascii="Calibri" w:hAnsi="Calibri"/>
          <w:sz w:val="24"/>
        </w:rPr>
        <w:t>informace podanou s odkazem na jednací řád PS.</w:t>
      </w:r>
    </w:p>
    <w:p w14:paraId="1BCB78A4" w14:textId="77777777" w:rsidR="00E85EA0" w:rsidRPr="00E85EA0" w:rsidRDefault="00E85EA0" w:rsidP="00E85EA0">
      <w:pPr>
        <w:spacing w:line="288" w:lineRule="auto"/>
        <w:jc w:val="both"/>
        <w:rPr>
          <w:rFonts w:ascii="Calibri" w:hAnsi="Calibri"/>
          <w:sz w:val="24"/>
        </w:rPr>
      </w:pPr>
    </w:p>
    <w:p w14:paraId="67DFE977" w14:textId="5A4B6EF5" w:rsidR="00E85EA0" w:rsidRPr="00E85EA0" w:rsidRDefault="00C07E7F" w:rsidP="00E85EA0">
      <w:pPr>
        <w:spacing w:line="288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E85EA0" w:rsidRPr="00E85EA0">
        <w:rPr>
          <w:rFonts w:ascii="Calibri" w:hAnsi="Calibri"/>
          <w:sz w:val="24"/>
        </w:rPr>
        <w:t>Nejvyšší správní soud ve výše zmíněném rozsudku uvádí, že „</w:t>
      </w:r>
      <w:r w:rsidR="00E85EA0" w:rsidRPr="00C07E7F">
        <w:rPr>
          <w:rFonts w:ascii="Calibri" w:hAnsi="Calibri"/>
          <w:i/>
          <w:sz w:val="24"/>
        </w:rPr>
        <w:t>p</w:t>
      </w:r>
      <w:r w:rsidR="00E85EA0" w:rsidRPr="00E85EA0">
        <w:rPr>
          <w:rFonts w:ascii="Calibri" w:hAnsi="Calibri"/>
          <w:i/>
          <w:iCs/>
          <w:sz w:val="24"/>
        </w:rPr>
        <w:t>ro poskytování informací podle § 82 obecního zřízení je třeba použ</w:t>
      </w:r>
      <w:r>
        <w:rPr>
          <w:rFonts w:ascii="Calibri" w:hAnsi="Calibri"/>
          <w:i/>
          <w:iCs/>
          <w:sz w:val="24"/>
        </w:rPr>
        <w:t>ít zákon o svobodném přístupu k </w:t>
      </w:r>
      <w:r w:rsidR="00E85EA0" w:rsidRPr="00E85EA0">
        <w:rPr>
          <w:rFonts w:ascii="Calibri" w:hAnsi="Calibri"/>
          <w:i/>
          <w:iCs/>
          <w:sz w:val="24"/>
        </w:rPr>
        <w:t xml:space="preserve">informacím. Již v rozsudku ze dne 15. 10. 2010, čj. 2 </w:t>
      </w:r>
      <w:proofErr w:type="spellStart"/>
      <w:r w:rsidR="00E85EA0" w:rsidRPr="00E85EA0">
        <w:rPr>
          <w:rFonts w:ascii="Calibri" w:hAnsi="Calibri"/>
          <w:i/>
          <w:iCs/>
          <w:sz w:val="24"/>
        </w:rPr>
        <w:t>Ans</w:t>
      </w:r>
      <w:proofErr w:type="spellEnd"/>
      <w:r w:rsidR="00E85EA0" w:rsidRPr="00E85EA0">
        <w:rPr>
          <w:rFonts w:ascii="Calibri" w:hAnsi="Calibri"/>
          <w:i/>
          <w:iCs/>
          <w:sz w:val="24"/>
        </w:rPr>
        <w:t xml:space="preserve"> 7/2010-175, č. 2165/2011 Sb. NSS, zdejší soud rozhodl, že pokud je povinnému subjektu uloženo poskytovat některé informace podle zákona o svobodném přístupu k informacím, </w:t>
      </w:r>
      <w:r w:rsidR="00E85EA0" w:rsidRPr="00E85EA0">
        <w:rPr>
          <w:rFonts w:ascii="Calibri" w:hAnsi="Calibri"/>
          <w:b/>
          <w:bCs/>
          <w:i/>
          <w:iCs/>
          <w:sz w:val="24"/>
        </w:rPr>
        <w:t>pak má podle stejné procesní úpravy poskytovat i informace, jejichž poskytnutí mu ukládá jiný právní předpis, který sám proces jejich poskytování nijak neupravuje</w:t>
      </w:r>
      <w:r w:rsidR="00E85EA0" w:rsidRPr="00E85EA0">
        <w:rPr>
          <w:rFonts w:ascii="Calibri" w:hAnsi="Calibri"/>
          <w:i/>
          <w:iCs/>
          <w:sz w:val="24"/>
        </w:rPr>
        <w:t>. Povaha povinného subjektu podle zákona o svobodném přístupu k informacím mu totiž umožňuje, aby plnil všechny s</w:t>
      </w:r>
      <w:r>
        <w:rPr>
          <w:rFonts w:ascii="Calibri" w:hAnsi="Calibri"/>
          <w:i/>
          <w:iCs/>
          <w:sz w:val="24"/>
        </w:rPr>
        <w:t>vé procesní povinnosti, které z </w:t>
      </w:r>
      <w:r w:rsidR="00E85EA0" w:rsidRPr="00E85EA0">
        <w:rPr>
          <w:rFonts w:ascii="Calibri" w:hAnsi="Calibri"/>
          <w:i/>
          <w:iCs/>
          <w:sz w:val="24"/>
        </w:rPr>
        <w:t xml:space="preserve">tohoto zákona plynou. </w:t>
      </w:r>
      <w:r w:rsidR="00E85EA0" w:rsidRPr="00E85EA0">
        <w:rPr>
          <w:rFonts w:ascii="Calibri" w:hAnsi="Calibri"/>
          <w:b/>
          <w:bCs/>
          <w:i/>
          <w:iCs/>
          <w:sz w:val="24"/>
        </w:rPr>
        <w:t xml:space="preserve">Bylo by naopak nelogické, aby při poskytování jednoho typu </w:t>
      </w:r>
      <w:r w:rsidR="00E85EA0" w:rsidRPr="00E85EA0">
        <w:rPr>
          <w:rFonts w:ascii="Calibri" w:hAnsi="Calibri"/>
          <w:b/>
          <w:bCs/>
          <w:i/>
          <w:iCs/>
          <w:sz w:val="24"/>
        </w:rPr>
        <w:lastRenderedPageBreak/>
        <w:t>informací povinný subjekt poskytoval žadatelům o informace veškerý "procesní komfort" zaručený zákonem o svobodném přístupu k informacím, zatímco v případě informací poskytovaných podle jiných zákonů nikoliv.</w:t>
      </w:r>
      <w:r w:rsidR="00E85EA0" w:rsidRPr="00E85EA0">
        <w:rPr>
          <w:rFonts w:ascii="Calibri" w:hAnsi="Calibri"/>
          <w:sz w:val="24"/>
        </w:rPr>
        <w:t xml:space="preserve">“ </w:t>
      </w:r>
    </w:p>
    <w:p w14:paraId="140C7BC9" w14:textId="77777777" w:rsidR="00E85EA0" w:rsidRPr="00E85EA0" w:rsidRDefault="00E85EA0" w:rsidP="00E85EA0">
      <w:pPr>
        <w:spacing w:line="288" w:lineRule="auto"/>
        <w:jc w:val="both"/>
        <w:rPr>
          <w:rFonts w:ascii="Calibri" w:hAnsi="Calibri"/>
          <w:sz w:val="24"/>
        </w:rPr>
      </w:pPr>
    </w:p>
    <w:p w14:paraId="3DF583AB" w14:textId="67DE8069" w:rsidR="00E85EA0" w:rsidRPr="00E85EA0" w:rsidRDefault="00C07E7F" w:rsidP="00E85EA0">
      <w:pPr>
        <w:spacing w:line="288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E85EA0" w:rsidRPr="00E85EA0">
        <w:rPr>
          <w:rFonts w:ascii="Calibri" w:hAnsi="Calibri"/>
          <w:sz w:val="24"/>
        </w:rPr>
        <w:t xml:space="preserve">V souladu se závěry Nejvyššího správního soudu je dle žalobce na místě argumentace, že by bylo nelogické a v rozporu </w:t>
      </w:r>
      <w:r>
        <w:rPr>
          <w:rFonts w:ascii="Calibri" w:hAnsi="Calibri"/>
          <w:sz w:val="24"/>
        </w:rPr>
        <w:t>s principem rovného zacházení, kdy</w:t>
      </w:r>
      <w:r w:rsidR="00E85EA0" w:rsidRPr="00E85EA0">
        <w:rPr>
          <w:rFonts w:ascii="Calibri" w:hAnsi="Calibri"/>
          <w:sz w:val="24"/>
        </w:rPr>
        <w:t>by poslanec neměl mít v otázce žádosti dle § 11 jednacího řádu PS stejný „procesní ko</w:t>
      </w:r>
      <w:r>
        <w:rPr>
          <w:rFonts w:ascii="Calibri" w:hAnsi="Calibri"/>
          <w:sz w:val="24"/>
        </w:rPr>
        <w:t xml:space="preserve">mfort“ jako žadatelé dle </w:t>
      </w:r>
      <w:proofErr w:type="spellStart"/>
      <w:r>
        <w:rPr>
          <w:rFonts w:ascii="Calibri" w:hAnsi="Calibri"/>
          <w:sz w:val="24"/>
        </w:rPr>
        <w:t>InfZ</w:t>
      </w:r>
      <w:proofErr w:type="spellEnd"/>
      <w:r>
        <w:rPr>
          <w:rFonts w:ascii="Calibri" w:hAnsi="Calibri"/>
          <w:sz w:val="24"/>
        </w:rPr>
        <w:t xml:space="preserve"> a </w:t>
      </w:r>
      <w:r w:rsidR="00E85EA0" w:rsidRPr="00E85EA0">
        <w:rPr>
          <w:rFonts w:ascii="Calibri" w:hAnsi="Calibri"/>
          <w:sz w:val="24"/>
        </w:rPr>
        <w:t>rovněž i (analogicky) jako zastupitel obce dle zákona o obcích. Stejně jako v případě práva zastupitele obce na informace dle zákona o obcích totiž ani jednací řád PS nijak proces poskytování těchto informací neupravuje, a tudíž je nutno v této otázce subsidiárně užít informační zákon.</w:t>
      </w:r>
    </w:p>
    <w:p w14:paraId="0EC91310" w14:textId="77777777" w:rsidR="00E85EA0" w:rsidRPr="00E85EA0" w:rsidRDefault="00E85EA0" w:rsidP="00E85EA0">
      <w:pPr>
        <w:spacing w:line="288" w:lineRule="auto"/>
        <w:jc w:val="both"/>
        <w:rPr>
          <w:rFonts w:ascii="Calibri" w:hAnsi="Calibri"/>
          <w:sz w:val="24"/>
        </w:rPr>
      </w:pPr>
    </w:p>
    <w:p w14:paraId="52ECFB6B" w14:textId="2D939677" w:rsidR="00E85EA0" w:rsidRPr="00E85EA0" w:rsidRDefault="00C07E7F" w:rsidP="00E85EA0">
      <w:pPr>
        <w:spacing w:line="288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E85EA0" w:rsidRPr="00E85EA0">
        <w:rPr>
          <w:rFonts w:ascii="Calibri" w:hAnsi="Calibri"/>
          <w:sz w:val="24"/>
        </w:rPr>
        <w:t>I kdyby se soud s výše uvedeným postupem neztotožnil a podmínky žádosti věcně posuzoval podle informačního zákona, žalovaný neuvedl žádné relevantní důvody ani dle informač</w:t>
      </w:r>
      <w:r>
        <w:rPr>
          <w:rFonts w:ascii="Calibri" w:hAnsi="Calibri"/>
          <w:sz w:val="24"/>
        </w:rPr>
        <w:t>ního zákona, na jejichž podkladě</w:t>
      </w:r>
      <w:r w:rsidR="00E85EA0" w:rsidRPr="00E85EA0">
        <w:rPr>
          <w:rFonts w:ascii="Calibri" w:hAnsi="Calibri"/>
          <w:sz w:val="24"/>
        </w:rPr>
        <w:t xml:space="preserve"> by bylo možné požadované informace odmítnout. Tvrzení povinného subjektu, že „</w:t>
      </w:r>
      <w:r w:rsidR="00E85EA0" w:rsidRPr="00E85EA0">
        <w:rPr>
          <w:rFonts w:ascii="Calibri" w:hAnsi="Calibri"/>
          <w:i/>
          <w:iCs/>
          <w:sz w:val="24"/>
        </w:rPr>
        <w:t>systém slouží pro interní potřeby Vlády České republiky</w:t>
      </w:r>
      <w:r w:rsidR="00E85EA0" w:rsidRPr="00E85EA0">
        <w:rPr>
          <w:rFonts w:ascii="Calibri" w:hAnsi="Calibri"/>
          <w:sz w:val="24"/>
        </w:rPr>
        <w:t xml:space="preserve">“ takovým důvodem není. Nic ani nenasvědčuje skutečnosti, že požadované informace se vztahují výlučně k vnitřním pokynům a personálním předpisům povinného subjektu (§ 11 odst. 1 písm. a) </w:t>
      </w:r>
      <w:proofErr w:type="spellStart"/>
      <w:r w:rsidR="00E85EA0" w:rsidRPr="00E85EA0">
        <w:rPr>
          <w:rFonts w:ascii="Calibri" w:hAnsi="Calibri"/>
          <w:sz w:val="24"/>
        </w:rPr>
        <w:t>InfZ</w:t>
      </w:r>
      <w:proofErr w:type="spellEnd"/>
      <w:r w:rsidR="00E85EA0" w:rsidRPr="00E85EA0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,</w:t>
      </w:r>
      <w:r w:rsidR="00E85EA0" w:rsidRPr="00E85EA0">
        <w:rPr>
          <w:rFonts w:ascii="Calibri" w:hAnsi="Calibri"/>
          <w:sz w:val="24"/>
        </w:rPr>
        <w:t xml:space="preserve"> ani jinému důvodu pro neposkytnutí informací dle informačního zákona.</w:t>
      </w:r>
    </w:p>
    <w:p w14:paraId="38F1950D" w14:textId="77777777" w:rsidR="00E85EA0" w:rsidRDefault="00E85EA0" w:rsidP="00E85EA0">
      <w:pPr>
        <w:spacing w:line="288" w:lineRule="auto"/>
        <w:jc w:val="both"/>
        <w:rPr>
          <w:rFonts w:ascii="Calibri" w:hAnsi="Calibri"/>
          <w:b/>
          <w:sz w:val="24"/>
        </w:rPr>
      </w:pPr>
    </w:p>
    <w:p w14:paraId="2898A7FD" w14:textId="77777777" w:rsidR="00A81B43" w:rsidRDefault="00A81B43" w:rsidP="00E85EA0">
      <w:pPr>
        <w:spacing w:line="288" w:lineRule="auto"/>
        <w:jc w:val="both"/>
        <w:rPr>
          <w:rFonts w:ascii="Calibri" w:hAnsi="Calibri"/>
          <w:b/>
          <w:sz w:val="24"/>
        </w:rPr>
      </w:pPr>
    </w:p>
    <w:p w14:paraId="2AF9F6C3" w14:textId="1AABCE8D" w:rsidR="000E6843" w:rsidRPr="00C911A0" w:rsidRDefault="000E6843" w:rsidP="00E85EA0">
      <w:pPr>
        <w:keepNext/>
        <w:numPr>
          <w:ilvl w:val="0"/>
          <w:numId w:val="3"/>
        </w:numPr>
        <w:spacing w:line="288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ŽALOBNÍ NÁVRH</w:t>
      </w:r>
    </w:p>
    <w:p w14:paraId="527C5BA0" w14:textId="77777777" w:rsidR="000E6843" w:rsidRPr="00C911A0" w:rsidRDefault="000E6843" w:rsidP="000E6843">
      <w:pPr>
        <w:spacing w:line="288" w:lineRule="auto"/>
        <w:jc w:val="center"/>
        <w:rPr>
          <w:rFonts w:ascii="Calibri" w:hAnsi="Calibri"/>
          <w:b/>
          <w:sz w:val="24"/>
        </w:rPr>
      </w:pPr>
    </w:p>
    <w:p w14:paraId="07D3D93A" w14:textId="33923B27" w:rsidR="000E6843" w:rsidRPr="00C911A0" w:rsidRDefault="000E6843" w:rsidP="000E6843">
      <w:pPr>
        <w:spacing w:line="288" w:lineRule="auto"/>
        <w:ind w:firstLine="708"/>
        <w:jc w:val="both"/>
        <w:rPr>
          <w:rFonts w:ascii="Calibri" w:hAnsi="Calibri"/>
          <w:bCs/>
          <w:sz w:val="24"/>
        </w:rPr>
      </w:pPr>
      <w:r w:rsidRPr="00C911A0">
        <w:rPr>
          <w:rFonts w:ascii="Calibri" w:hAnsi="Calibri"/>
          <w:bCs/>
          <w:sz w:val="24"/>
        </w:rPr>
        <w:t xml:space="preserve">Na základě výše </w:t>
      </w:r>
      <w:r w:rsidRPr="00515156">
        <w:rPr>
          <w:rFonts w:ascii="Calibri" w:hAnsi="Calibri"/>
          <w:sz w:val="24"/>
        </w:rPr>
        <w:t>uvedeného</w:t>
      </w:r>
      <w:r w:rsidRPr="00C911A0">
        <w:rPr>
          <w:rFonts w:ascii="Calibri" w:hAnsi="Calibri"/>
          <w:bCs/>
          <w:sz w:val="24"/>
        </w:rPr>
        <w:t xml:space="preserve"> se žalobce domnívá, že byl </w:t>
      </w:r>
      <w:r w:rsidR="009C0267">
        <w:rPr>
          <w:rFonts w:ascii="Calibri" w:hAnsi="Calibri"/>
          <w:bCs/>
          <w:sz w:val="24"/>
        </w:rPr>
        <w:t xml:space="preserve">postupem žalovaného </w:t>
      </w:r>
      <w:r w:rsidRPr="00C911A0">
        <w:rPr>
          <w:rFonts w:ascii="Calibri" w:hAnsi="Calibri"/>
          <w:bCs/>
          <w:sz w:val="24"/>
        </w:rPr>
        <w:t>zkrácen na svém právu na informace</w:t>
      </w:r>
      <w:r w:rsidR="006427B7">
        <w:rPr>
          <w:rFonts w:ascii="Calibri" w:hAnsi="Calibri"/>
          <w:bCs/>
          <w:sz w:val="24"/>
        </w:rPr>
        <w:t xml:space="preserve"> a </w:t>
      </w:r>
      <w:r w:rsidRPr="00C911A0">
        <w:rPr>
          <w:rFonts w:ascii="Calibri" w:hAnsi="Calibri"/>
          <w:bCs/>
          <w:sz w:val="24"/>
        </w:rPr>
        <w:t>navrhuje,</w:t>
      </w:r>
      <w:r>
        <w:rPr>
          <w:rFonts w:ascii="Calibri" w:hAnsi="Calibri"/>
          <w:bCs/>
          <w:sz w:val="24"/>
        </w:rPr>
        <w:t xml:space="preserve"> aby </w:t>
      </w:r>
      <w:r w:rsidR="00293253">
        <w:rPr>
          <w:rFonts w:ascii="Calibri" w:hAnsi="Calibri"/>
          <w:bCs/>
          <w:sz w:val="24"/>
        </w:rPr>
        <w:t>soud</w:t>
      </w:r>
      <w:r w:rsidR="00293253">
        <w:rPr>
          <w:rFonts w:ascii="Calibri" w:hAnsi="Calibri"/>
          <w:bCs/>
          <w:sz w:val="24"/>
        </w:rPr>
        <w:t>,</w:t>
      </w:r>
      <w:r w:rsidR="00293253">
        <w:rPr>
          <w:rFonts w:ascii="Calibri" w:hAnsi="Calibri"/>
          <w:bCs/>
          <w:sz w:val="24"/>
        </w:rPr>
        <w:t xml:space="preserve"> </w:t>
      </w:r>
      <w:r w:rsidR="00293253">
        <w:rPr>
          <w:rFonts w:ascii="Calibri" w:hAnsi="Calibri"/>
          <w:bCs/>
          <w:sz w:val="24"/>
        </w:rPr>
        <w:t xml:space="preserve">s přihlédnutím k možnosti analogického použití </w:t>
      </w:r>
      <w:proofErr w:type="spellStart"/>
      <w:r w:rsidR="00293253">
        <w:rPr>
          <w:rFonts w:ascii="Calibri" w:hAnsi="Calibri"/>
          <w:bCs/>
          <w:sz w:val="24"/>
        </w:rPr>
        <w:t>ust</w:t>
      </w:r>
      <w:proofErr w:type="spellEnd"/>
      <w:r w:rsidR="00293253">
        <w:rPr>
          <w:rFonts w:ascii="Calibri" w:hAnsi="Calibri"/>
          <w:bCs/>
          <w:sz w:val="24"/>
        </w:rPr>
        <w:t xml:space="preserve">. § 16 odst. 4 </w:t>
      </w:r>
      <w:proofErr w:type="spellStart"/>
      <w:r w:rsidR="00293253">
        <w:rPr>
          <w:rFonts w:ascii="Calibri" w:hAnsi="Calibri"/>
          <w:bCs/>
          <w:sz w:val="24"/>
        </w:rPr>
        <w:t>InfZ</w:t>
      </w:r>
      <w:proofErr w:type="spellEnd"/>
      <w:r w:rsidR="00293253">
        <w:rPr>
          <w:rFonts w:ascii="Calibri" w:hAnsi="Calibri"/>
          <w:bCs/>
          <w:sz w:val="24"/>
        </w:rPr>
        <w:t xml:space="preserve"> a s ohledem na zásadu neformálnosti a rychlosti přístupu k</w:t>
      </w:r>
      <w:r w:rsidR="00911CFB">
        <w:rPr>
          <w:rFonts w:ascii="Calibri" w:hAnsi="Calibri"/>
          <w:bCs/>
          <w:sz w:val="24"/>
        </w:rPr>
        <w:t> </w:t>
      </w:r>
      <w:r w:rsidR="00293253">
        <w:rPr>
          <w:rFonts w:ascii="Calibri" w:hAnsi="Calibri"/>
          <w:bCs/>
          <w:sz w:val="24"/>
        </w:rPr>
        <w:t>informacím</w:t>
      </w:r>
      <w:r w:rsidR="00911CFB">
        <w:rPr>
          <w:rFonts w:ascii="Calibri" w:hAnsi="Calibri"/>
          <w:bCs/>
          <w:sz w:val="24"/>
        </w:rPr>
        <w:t>,</w:t>
      </w:r>
      <w:r w:rsidR="00293253">
        <w:rPr>
          <w:rFonts w:ascii="Calibri" w:hAnsi="Calibri"/>
          <w:bCs/>
          <w:sz w:val="24"/>
        </w:rPr>
        <w:t xml:space="preserve"> </w:t>
      </w:r>
      <w:r>
        <w:rPr>
          <w:rFonts w:ascii="Calibri" w:hAnsi="Calibri"/>
          <w:bCs/>
          <w:sz w:val="24"/>
        </w:rPr>
        <w:t>vydal následující</w:t>
      </w:r>
    </w:p>
    <w:p w14:paraId="7394FBA7" w14:textId="77777777" w:rsidR="00A81B43" w:rsidRPr="00C911A0" w:rsidRDefault="00A81B43" w:rsidP="000E6843">
      <w:pPr>
        <w:spacing w:line="288" w:lineRule="auto"/>
        <w:jc w:val="both"/>
        <w:rPr>
          <w:rFonts w:ascii="Calibri" w:hAnsi="Calibri"/>
          <w:bCs/>
          <w:sz w:val="24"/>
        </w:rPr>
      </w:pPr>
    </w:p>
    <w:p w14:paraId="13495606" w14:textId="77777777" w:rsidR="000E6843" w:rsidRPr="00C911A0" w:rsidRDefault="000E6843" w:rsidP="000E6843">
      <w:pPr>
        <w:spacing w:line="288" w:lineRule="auto"/>
        <w:jc w:val="center"/>
        <w:rPr>
          <w:rFonts w:ascii="Calibri" w:hAnsi="Calibri"/>
          <w:bCs/>
          <w:sz w:val="24"/>
        </w:rPr>
      </w:pPr>
      <w:r w:rsidRPr="00C911A0">
        <w:rPr>
          <w:rFonts w:ascii="Calibri" w:hAnsi="Calibri"/>
          <w:bCs/>
          <w:sz w:val="24"/>
        </w:rPr>
        <w:t>R O Z S U D E K</w:t>
      </w:r>
      <w:r>
        <w:rPr>
          <w:rFonts w:ascii="Calibri" w:hAnsi="Calibri"/>
          <w:bCs/>
          <w:sz w:val="24"/>
        </w:rPr>
        <w:t>:</w:t>
      </w:r>
    </w:p>
    <w:p w14:paraId="7F75E810" w14:textId="77777777" w:rsidR="000E6843" w:rsidRPr="00C911A0" w:rsidRDefault="000E6843" w:rsidP="000E6843">
      <w:pPr>
        <w:spacing w:line="288" w:lineRule="auto"/>
        <w:jc w:val="center"/>
        <w:rPr>
          <w:rFonts w:ascii="Calibri" w:hAnsi="Calibri"/>
          <w:bCs/>
          <w:sz w:val="24"/>
        </w:rPr>
      </w:pPr>
    </w:p>
    <w:p w14:paraId="69549D61" w14:textId="4ABA90CD" w:rsidR="000E6843" w:rsidRPr="00C911A0" w:rsidRDefault="000E6843" w:rsidP="000E6843">
      <w:pPr>
        <w:numPr>
          <w:ilvl w:val="0"/>
          <w:numId w:val="1"/>
        </w:numPr>
        <w:spacing w:line="288" w:lineRule="auto"/>
        <w:ind w:left="426"/>
        <w:jc w:val="both"/>
        <w:rPr>
          <w:rFonts w:ascii="Calibri" w:hAnsi="Calibri"/>
          <w:bCs/>
          <w:sz w:val="24"/>
          <w:u w:val="single"/>
        </w:rPr>
      </w:pPr>
      <w:r w:rsidRPr="00C911A0">
        <w:rPr>
          <w:rFonts w:ascii="Calibri" w:hAnsi="Calibri"/>
          <w:bCs/>
          <w:sz w:val="24"/>
        </w:rPr>
        <w:t xml:space="preserve">Rozhodnutí </w:t>
      </w:r>
      <w:r w:rsidR="00ED5FB2" w:rsidRPr="00C87541">
        <w:rPr>
          <w:rFonts w:ascii="Calibri" w:hAnsi="Calibri"/>
          <w:bCs/>
          <w:sz w:val="24"/>
        </w:rPr>
        <w:t>předsedy</w:t>
      </w:r>
      <w:r w:rsidR="0071237B" w:rsidRPr="00C87541">
        <w:rPr>
          <w:rFonts w:ascii="Calibri" w:hAnsi="Calibri"/>
          <w:bCs/>
          <w:sz w:val="24"/>
        </w:rPr>
        <w:t xml:space="preserve"> </w:t>
      </w:r>
      <w:r w:rsidRPr="00C87541">
        <w:rPr>
          <w:rFonts w:ascii="Calibri" w:hAnsi="Calibri"/>
          <w:bCs/>
          <w:sz w:val="24"/>
        </w:rPr>
        <w:t xml:space="preserve">vlády </w:t>
      </w:r>
      <w:r w:rsidR="006574A8" w:rsidRPr="00C87541">
        <w:rPr>
          <w:rFonts w:ascii="Calibri" w:hAnsi="Calibri"/>
          <w:bCs/>
          <w:sz w:val="24"/>
        </w:rPr>
        <w:t>České republiky</w:t>
      </w:r>
      <w:r w:rsidR="006574A8">
        <w:rPr>
          <w:rFonts w:ascii="Calibri" w:hAnsi="Calibri"/>
          <w:bCs/>
          <w:sz w:val="24"/>
        </w:rPr>
        <w:t xml:space="preserve"> </w:t>
      </w:r>
      <w:r w:rsidRPr="00C911A0">
        <w:rPr>
          <w:rFonts w:ascii="Calibri" w:hAnsi="Calibri"/>
          <w:bCs/>
          <w:sz w:val="24"/>
        </w:rPr>
        <w:t xml:space="preserve">ze dne </w:t>
      </w:r>
      <w:r w:rsidR="006427B7" w:rsidRPr="006427B7">
        <w:rPr>
          <w:rFonts w:ascii="Calibri" w:hAnsi="Calibri"/>
          <w:bCs/>
          <w:sz w:val="24"/>
        </w:rPr>
        <w:t>9. 10. 2019, č</w:t>
      </w:r>
      <w:r w:rsidR="006427B7">
        <w:rPr>
          <w:rFonts w:ascii="Calibri" w:hAnsi="Calibri"/>
          <w:bCs/>
          <w:sz w:val="24"/>
        </w:rPr>
        <w:t xml:space="preserve">. </w:t>
      </w:r>
      <w:r w:rsidR="006427B7" w:rsidRPr="006427B7">
        <w:rPr>
          <w:rFonts w:ascii="Calibri" w:hAnsi="Calibri"/>
          <w:bCs/>
          <w:sz w:val="24"/>
        </w:rPr>
        <w:t>j. 28948/2019-UVCR, kterým</w:t>
      </w:r>
      <w:r w:rsidR="00911CFB">
        <w:rPr>
          <w:rFonts w:ascii="Calibri" w:hAnsi="Calibri"/>
          <w:bCs/>
          <w:sz w:val="24"/>
        </w:rPr>
        <w:t xml:space="preserve"> byl potvrzen </w:t>
      </w:r>
      <w:r w:rsidR="006427B7" w:rsidRPr="006427B7">
        <w:rPr>
          <w:rFonts w:ascii="Calibri" w:hAnsi="Calibri"/>
          <w:bCs/>
          <w:sz w:val="24"/>
        </w:rPr>
        <w:t>postup žalovaného při vyřizování žádosti o informace, se zrušuje.</w:t>
      </w:r>
    </w:p>
    <w:p w14:paraId="6E267DE8" w14:textId="77777777" w:rsidR="000E6843" w:rsidRPr="00C911A0" w:rsidRDefault="000E6843" w:rsidP="000E6843">
      <w:pPr>
        <w:spacing w:line="288" w:lineRule="auto"/>
        <w:ind w:left="426"/>
        <w:jc w:val="both"/>
        <w:rPr>
          <w:rFonts w:ascii="Calibri" w:hAnsi="Calibri"/>
          <w:bCs/>
          <w:sz w:val="24"/>
          <w:u w:val="single"/>
        </w:rPr>
      </w:pPr>
    </w:p>
    <w:p w14:paraId="55B92E28" w14:textId="0F1C8C5C" w:rsidR="000E6843" w:rsidRPr="00C87541" w:rsidRDefault="00AC257B" w:rsidP="000E6843">
      <w:pPr>
        <w:numPr>
          <w:ilvl w:val="0"/>
          <w:numId w:val="1"/>
        </w:numPr>
        <w:spacing w:line="288" w:lineRule="auto"/>
        <w:ind w:left="426"/>
        <w:jc w:val="both"/>
        <w:rPr>
          <w:rFonts w:ascii="Calibri" w:hAnsi="Calibri"/>
          <w:bCs/>
          <w:sz w:val="24"/>
        </w:rPr>
      </w:pPr>
      <w:r w:rsidRPr="00C87541">
        <w:rPr>
          <w:rFonts w:ascii="Calibri" w:hAnsi="Calibri"/>
          <w:bCs/>
          <w:sz w:val="24"/>
        </w:rPr>
        <w:t>Odpověď</w:t>
      </w:r>
      <w:r w:rsidR="0071237B" w:rsidRPr="00C87541">
        <w:rPr>
          <w:rFonts w:ascii="Calibri" w:hAnsi="Calibri"/>
          <w:bCs/>
          <w:sz w:val="24"/>
        </w:rPr>
        <w:t xml:space="preserve"> </w:t>
      </w:r>
      <w:r w:rsidR="006427B7" w:rsidRPr="00C87541">
        <w:rPr>
          <w:rFonts w:ascii="Calibri" w:hAnsi="Calibri"/>
          <w:bCs/>
          <w:sz w:val="24"/>
        </w:rPr>
        <w:t xml:space="preserve">žalovaného </w:t>
      </w:r>
      <w:r w:rsidR="00C87541" w:rsidRPr="00C87541">
        <w:rPr>
          <w:rFonts w:ascii="Calibri" w:hAnsi="Calibri"/>
          <w:bCs/>
          <w:sz w:val="24"/>
        </w:rPr>
        <w:t>na žádost o informace</w:t>
      </w:r>
      <w:r w:rsidR="00C87541" w:rsidRPr="00C87541">
        <w:rPr>
          <w:rFonts w:ascii="Calibri" w:hAnsi="Calibri"/>
          <w:bCs/>
          <w:sz w:val="24"/>
        </w:rPr>
        <w:t xml:space="preserve"> </w:t>
      </w:r>
      <w:r w:rsidR="006427B7" w:rsidRPr="00C87541">
        <w:rPr>
          <w:rFonts w:ascii="Calibri" w:hAnsi="Calibri"/>
          <w:bCs/>
          <w:sz w:val="24"/>
        </w:rPr>
        <w:t xml:space="preserve">ze dne 13. 8. 2019, č. </w:t>
      </w:r>
      <w:r w:rsidRPr="00C87541">
        <w:rPr>
          <w:rFonts w:ascii="Calibri" w:hAnsi="Calibri"/>
          <w:bCs/>
          <w:sz w:val="24"/>
        </w:rPr>
        <w:t>j. 23568/2019-UVCR-6</w:t>
      </w:r>
      <w:r w:rsidR="006427B7" w:rsidRPr="00C87541">
        <w:rPr>
          <w:rFonts w:ascii="Calibri" w:hAnsi="Calibri"/>
          <w:bCs/>
          <w:sz w:val="24"/>
        </w:rPr>
        <w:t xml:space="preserve"> se zrušuje.</w:t>
      </w:r>
    </w:p>
    <w:p w14:paraId="3C2C9E8E" w14:textId="77777777" w:rsidR="000E6843" w:rsidRPr="00C911A0" w:rsidRDefault="000E6843" w:rsidP="000E6843">
      <w:pPr>
        <w:spacing w:line="288" w:lineRule="auto"/>
        <w:ind w:left="426"/>
        <w:jc w:val="both"/>
        <w:rPr>
          <w:rFonts w:ascii="Calibri" w:hAnsi="Calibri"/>
          <w:bCs/>
          <w:sz w:val="24"/>
        </w:rPr>
      </w:pPr>
    </w:p>
    <w:p w14:paraId="16CB8841" w14:textId="58B04CA3" w:rsidR="000E6843" w:rsidRDefault="00A81B43" w:rsidP="000E6843">
      <w:pPr>
        <w:numPr>
          <w:ilvl w:val="0"/>
          <w:numId w:val="1"/>
        </w:numPr>
        <w:spacing w:line="288" w:lineRule="auto"/>
        <w:ind w:left="426"/>
        <w:jc w:val="both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 xml:space="preserve">a) </w:t>
      </w:r>
      <w:r w:rsidR="006427B7" w:rsidRPr="006427B7">
        <w:rPr>
          <w:rFonts w:ascii="Calibri" w:hAnsi="Calibri"/>
          <w:bCs/>
          <w:sz w:val="24"/>
        </w:rPr>
        <w:t xml:space="preserve">Žalovanému se nařizuje, aby žalobci poskytl úplný výstup ze Systému pro sledování plnění úkolů z Programového prohlášení vlády, tedy tabulky, kde budou uvedeny jednotlivé body </w:t>
      </w:r>
      <w:r w:rsidR="00B84D2B">
        <w:rPr>
          <w:rFonts w:ascii="Calibri" w:hAnsi="Calibri"/>
          <w:bCs/>
          <w:sz w:val="24"/>
        </w:rPr>
        <w:t>P</w:t>
      </w:r>
      <w:r w:rsidR="006427B7" w:rsidRPr="006427B7">
        <w:rPr>
          <w:rFonts w:ascii="Calibri" w:hAnsi="Calibri"/>
          <w:bCs/>
          <w:sz w:val="24"/>
        </w:rPr>
        <w:t xml:space="preserve">rogramového prohlášení vlády a k nim přiřazené úkoly a jejich </w:t>
      </w:r>
      <w:proofErr w:type="spellStart"/>
      <w:r w:rsidR="006427B7" w:rsidRPr="006427B7">
        <w:rPr>
          <w:rFonts w:ascii="Calibri" w:hAnsi="Calibri"/>
          <w:bCs/>
          <w:sz w:val="24"/>
        </w:rPr>
        <w:t>metadata</w:t>
      </w:r>
      <w:proofErr w:type="spellEnd"/>
      <w:r w:rsidR="006427B7" w:rsidRPr="006427B7">
        <w:rPr>
          <w:rFonts w:ascii="Calibri" w:hAnsi="Calibri"/>
          <w:bCs/>
          <w:sz w:val="24"/>
        </w:rPr>
        <w:t xml:space="preserve">, tj. zejména gestor, znění úkolu, termín a stav plnění úkolu, </w:t>
      </w:r>
      <w:r w:rsidR="006427B7" w:rsidRPr="00B66CE5">
        <w:rPr>
          <w:rFonts w:ascii="Calibri" w:hAnsi="Calibri"/>
          <w:bCs/>
          <w:sz w:val="24"/>
        </w:rPr>
        <w:t>to vše u c</w:t>
      </w:r>
      <w:r w:rsidR="00B66CE5">
        <w:rPr>
          <w:rFonts w:ascii="Calibri" w:hAnsi="Calibri"/>
          <w:bCs/>
          <w:sz w:val="24"/>
        </w:rPr>
        <w:t>ca 653 úkolů, které jsou podle Z</w:t>
      </w:r>
      <w:r w:rsidR="006427B7" w:rsidRPr="00B66CE5">
        <w:rPr>
          <w:rFonts w:ascii="Calibri" w:hAnsi="Calibri"/>
          <w:bCs/>
          <w:sz w:val="24"/>
        </w:rPr>
        <w:t xml:space="preserve">právy </w:t>
      </w:r>
      <w:r w:rsidR="00B66CE5" w:rsidRPr="00B66CE5">
        <w:rPr>
          <w:rFonts w:ascii="Calibri" w:hAnsi="Calibri"/>
          <w:bCs/>
          <w:sz w:val="24"/>
        </w:rPr>
        <w:t xml:space="preserve">o plnění </w:t>
      </w:r>
      <w:r w:rsidR="006427B7" w:rsidRPr="00B66CE5">
        <w:rPr>
          <w:rFonts w:ascii="Calibri" w:hAnsi="Calibri"/>
          <w:bCs/>
          <w:sz w:val="24"/>
        </w:rPr>
        <w:t xml:space="preserve">Programového prohlášení vlády </w:t>
      </w:r>
      <w:r w:rsidR="00B66CE5">
        <w:rPr>
          <w:rFonts w:ascii="Calibri" w:hAnsi="Calibri"/>
          <w:bCs/>
          <w:sz w:val="24"/>
        </w:rPr>
        <w:t xml:space="preserve">ze dne 3. 7. 2019 </w:t>
      </w:r>
      <w:r w:rsidR="006427B7" w:rsidRPr="00B66CE5">
        <w:rPr>
          <w:rFonts w:ascii="Calibri" w:hAnsi="Calibri"/>
          <w:bCs/>
          <w:sz w:val="24"/>
        </w:rPr>
        <w:t>v Systému obsaž</w:t>
      </w:r>
      <w:r w:rsidR="00B66CE5">
        <w:rPr>
          <w:rFonts w:ascii="Calibri" w:hAnsi="Calibri"/>
          <w:bCs/>
          <w:sz w:val="24"/>
        </w:rPr>
        <w:t>eny;</w:t>
      </w:r>
    </w:p>
    <w:p w14:paraId="2FFAC136" w14:textId="77777777" w:rsidR="00A81B43" w:rsidRDefault="00A81B43" w:rsidP="00A81B43">
      <w:pPr>
        <w:spacing w:line="288" w:lineRule="auto"/>
        <w:jc w:val="both"/>
        <w:rPr>
          <w:rFonts w:ascii="Calibri" w:hAnsi="Calibri"/>
          <w:bCs/>
          <w:sz w:val="24"/>
        </w:rPr>
      </w:pPr>
    </w:p>
    <w:p w14:paraId="41D2F85A" w14:textId="3D6B0162" w:rsidR="00A81B43" w:rsidRPr="00A81B43" w:rsidRDefault="003575BA" w:rsidP="00A81B43">
      <w:pPr>
        <w:spacing w:line="288" w:lineRule="auto"/>
        <w:ind w:left="426"/>
        <w:jc w:val="both"/>
        <w:rPr>
          <w:rFonts w:ascii="Calibri" w:hAnsi="Calibri"/>
          <w:bCs/>
          <w:i/>
          <w:sz w:val="24"/>
        </w:rPr>
      </w:pPr>
      <w:r>
        <w:rPr>
          <w:rFonts w:ascii="Calibri" w:hAnsi="Calibri"/>
          <w:bCs/>
          <w:i/>
          <w:sz w:val="24"/>
        </w:rPr>
        <w:t xml:space="preserve">nebo </w:t>
      </w:r>
      <w:r w:rsidR="00A81B43" w:rsidRPr="00A81B43">
        <w:rPr>
          <w:rFonts w:ascii="Calibri" w:hAnsi="Calibri"/>
          <w:bCs/>
          <w:i/>
          <w:sz w:val="24"/>
        </w:rPr>
        <w:t>eventuálně</w:t>
      </w:r>
      <w:r w:rsidR="00F21F72">
        <w:rPr>
          <w:rFonts w:ascii="Calibri" w:hAnsi="Calibri"/>
          <w:bCs/>
          <w:i/>
          <w:sz w:val="24"/>
        </w:rPr>
        <w:t xml:space="preserve"> (pokud soud shledá nemožnost aplikace § 16 odst. 4 </w:t>
      </w:r>
      <w:proofErr w:type="spellStart"/>
      <w:r w:rsidR="00F21F72">
        <w:rPr>
          <w:rFonts w:ascii="Calibri" w:hAnsi="Calibri"/>
          <w:bCs/>
          <w:i/>
          <w:sz w:val="24"/>
        </w:rPr>
        <w:t>InfZ</w:t>
      </w:r>
      <w:proofErr w:type="spellEnd"/>
      <w:r w:rsidR="00F21F72">
        <w:rPr>
          <w:rFonts w:ascii="Calibri" w:hAnsi="Calibri"/>
          <w:bCs/>
          <w:i/>
          <w:sz w:val="24"/>
        </w:rPr>
        <w:t>)</w:t>
      </w:r>
      <w:r w:rsidR="00B66CE5">
        <w:rPr>
          <w:rFonts w:ascii="Calibri" w:hAnsi="Calibri"/>
          <w:bCs/>
          <w:i/>
          <w:sz w:val="24"/>
        </w:rPr>
        <w:t>:</w:t>
      </w:r>
    </w:p>
    <w:p w14:paraId="263C015E" w14:textId="77777777" w:rsidR="00A81B43" w:rsidRDefault="00A81B43" w:rsidP="00A81B43">
      <w:pPr>
        <w:spacing w:line="288" w:lineRule="auto"/>
        <w:ind w:left="426"/>
        <w:jc w:val="both"/>
        <w:rPr>
          <w:rFonts w:ascii="Calibri" w:hAnsi="Calibri"/>
          <w:bCs/>
          <w:sz w:val="24"/>
        </w:rPr>
      </w:pPr>
    </w:p>
    <w:p w14:paraId="3587283C" w14:textId="74AFDA0C" w:rsidR="00A81B43" w:rsidRDefault="00A81B43" w:rsidP="00A81B43">
      <w:pPr>
        <w:spacing w:line="288" w:lineRule="auto"/>
        <w:ind w:left="426"/>
        <w:jc w:val="both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 xml:space="preserve">b) </w:t>
      </w:r>
      <w:r w:rsidR="00293253">
        <w:rPr>
          <w:rFonts w:ascii="Calibri" w:hAnsi="Calibri"/>
          <w:bCs/>
          <w:sz w:val="24"/>
        </w:rPr>
        <w:t>Věc se vrací žalovanému k dalšímu řízení.</w:t>
      </w:r>
    </w:p>
    <w:p w14:paraId="1936D0D9" w14:textId="77777777" w:rsidR="000E6843" w:rsidRPr="00C911A0" w:rsidRDefault="000E6843" w:rsidP="000E6843">
      <w:pPr>
        <w:spacing w:line="288" w:lineRule="auto"/>
        <w:ind w:left="426"/>
        <w:jc w:val="both"/>
        <w:rPr>
          <w:rFonts w:ascii="Calibri" w:hAnsi="Calibri"/>
          <w:bCs/>
          <w:sz w:val="24"/>
        </w:rPr>
      </w:pPr>
    </w:p>
    <w:p w14:paraId="66F6E740" w14:textId="1CC78060" w:rsidR="000E6843" w:rsidRPr="00C911A0" w:rsidRDefault="000E6843" w:rsidP="000E6843">
      <w:pPr>
        <w:numPr>
          <w:ilvl w:val="0"/>
          <w:numId w:val="1"/>
        </w:numPr>
        <w:spacing w:line="288" w:lineRule="auto"/>
        <w:ind w:left="426"/>
        <w:jc w:val="both"/>
        <w:rPr>
          <w:rFonts w:ascii="Calibri" w:hAnsi="Calibri"/>
          <w:bCs/>
          <w:sz w:val="24"/>
        </w:rPr>
      </w:pPr>
      <w:r w:rsidRPr="00C911A0">
        <w:rPr>
          <w:rFonts w:ascii="Calibri" w:hAnsi="Calibri"/>
          <w:bCs/>
          <w:sz w:val="24"/>
        </w:rPr>
        <w:t xml:space="preserve">Žalovaný je povinen do </w:t>
      </w:r>
      <w:r w:rsidR="00464BE0" w:rsidRPr="00C911A0">
        <w:rPr>
          <w:rFonts w:ascii="Calibri" w:hAnsi="Calibri"/>
          <w:bCs/>
          <w:sz w:val="24"/>
        </w:rPr>
        <w:t>tří</w:t>
      </w:r>
      <w:r w:rsidRPr="00C911A0">
        <w:rPr>
          <w:rFonts w:ascii="Calibri" w:hAnsi="Calibri"/>
          <w:bCs/>
          <w:sz w:val="24"/>
        </w:rPr>
        <w:t xml:space="preserve"> dnů od právní moci tohoto rozsudku nahradit žalobci náklady řízení.</w:t>
      </w:r>
    </w:p>
    <w:p w14:paraId="5A2633B0" w14:textId="77777777" w:rsidR="00A81B43" w:rsidRDefault="00A81B43" w:rsidP="000E6843">
      <w:pPr>
        <w:spacing w:line="288" w:lineRule="auto"/>
        <w:ind w:left="4678"/>
        <w:rPr>
          <w:rFonts w:ascii="Calibri" w:hAnsi="Calibri"/>
          <w:sz w:val="24"/>
        </w:rPr>
      </w:pPr>
    </w:p>
    <w:p w14:paraId="708A9633" w14:textId="77777777" w:rsidR="00F21F72" w:rsidRPr="00C911A0" w:rsidRDefault="00F21F72" w:rsidP="00F21F72">
      <w:pPr>
        <w:spacing w:line="288" w:lineRule="auto"/>
        <w:ind w:left="623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 z. Mgr. Filip Hajný, advokát</w:t>
      </w:r>
    </w:p>
    <w:p w14:paraId="4503FABF" w14:textId="77777777" w:rsidR="000E6843" w:rsidRPr="00C911A0" w:rsidRDefault="000E6843" w:rsidP="00F21F72">
      <w:pPr>
        <w:spacing w:line="288" w:lineRule="auto"/>
        <w:ind w:left="6237"/>
        <w:rPr>
          <w:rFonts w:ascii="Calibri" w:hAnsi="Calibri"/>
          <w:sz w:val="24"/>
        </w:rPr>
      </w:pPr>
      <w:r w:rsidRPr="00C911A0">
        <w:rPr>
          <w:rFonts w:ascii="Calibri" w:hAnsi="Calibri"/>
          <w:sz w:val="24"/>
        </w:rPr>
        <w:t>Mgr. et Mgr. Jakub Michálek</w:t>
      </w:r>
    </w:p>
    <w:p w14:paraId="5527E320" w14:textId="77777777" w:rsidR="00F21F72" w:rsidRPr="00C911A0" w:rsidRDefault="00F21F72">
      <w:pPr>
        <w:spacing w:line="288" w:lineRule="auto"/>
        <w:ind w:left="4678"/>
        <w:rPr>
          <w:rFonts w:ascii="Calibri" w:hAnsi="Calibri"/>
          <w:sz w:val="24"/>
        </w:rPr>
      </w:pPr>
    </w:p>
    <w:sectPr w:rsidR="00F21F72" w:rsidRPr="00C911A0" w:rsidSect="0044756D">
      <w:headerReference w:type="default" r:id="rId9"/>
      <w:footerReference w:type="default" r:id="rId10"/>
      <w:pgSz w:w="11900" w:h="16840"/>
      <w:pgMar w:top="3261" w:right="1417" w:bottom="1417" w:left="1417" w:header="708" w:footer="119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29C7B" w14:textId="77777777" w:rsidR="00137441" w:rsidRDefault="00137441">
      <w:pPr>
        <w:spacing w:line="240" w:lineRule="auto"/>
      </w:pPr>
      <w:r>
        <w:separator/>
      </w:r>
    </w:p>
  </w:endnote>
  <w:endnote w:type="continuationSeparator" w:id="0">
    <w:p w14:paraId="7928E997" w14:textId="77777777" w:rsidR="00137441" w:rsidRDefault="00137441">
      <w:pPr>
        <w:spacing w:line="240" w:lineRule="auto"/>
      </w:pPr>
      <w:r>
        <w:continuationSeparator/>
      </w:r>
    </w:p>
  </w:endnote>
  <w:endnote w:type="continuationNotice" w:id="1">
    <w:p w14:paraId="6A447F10" w14:textId="77777777" w:rsidR="00137441" w:rsidRDefault="001374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114876"/>
      <w:docPartObj>
        <w:docPartGallery w:val="Page Numbers (Bottom of Page)"/>
        <w:docPartUnique/>
      </w:docPartObj>
    </w:sdtPr>
    <w:sdtEndPr/>
    <w:sdtContent>
      <w:p w14:paraId="5AC8F647" w14:textId="28F44AAD" w:rsidR="000C68C8" w:rsidRDefault="008A0169" w:rsidP="008A0169">
        <w:pPr>
          <w:pStyle w:val="Zpat"/>
          <w:jc w:val="right"/>
        </w:pPr>
        <w:r>
          <w:rPr>
            <w:noProof/>
          </w:rPr>
          <w:drawing>
            <wp:inline distT="0" distB="0" distL="0" distR="0" wp14:anchorId="1ABF5771" wp14:editId="398A3E47">
              <wp:extent cx="5756910" cy="325755"/>
              <wp:effectExtent l="0" t="0" r="0" b="0"/>
              <wp:docPr id="3" name="Obráze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ýstřižek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6910" cy="325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A0169">
          <w:fldChar w:fldCharType="begin"/>
        </w:r>
        <w:r w:rsidRPr="008A0169">
          <w:instrText>PAGE   \* MERGEFORMAT</w:instrText>
        </w:r>
        <w:r w:rsidRPr="008A0169">
          <w:fldChar w:fldCharType="separate"/>
        </w:r>
        <w:r w:rsidR="00B84D2B">
          <w:rPr>
            <w:noProof/>
          </w:rPr>
          <w:t>5</w:t>
        </w:r>
        <w:r w:rsidRPr="008A0169">
          <w:fldChar w:fldCharType="end"/>
        </w:r>
        <w:r w:rsidR="00693E55">
          <w:t>/</w:t>
        </w:r>
        <w:r w:rsidR="00911CFB"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0564C" w14:textId="77777777" w:rsidR="00137441" w:rsidRDefault="00137441">
      <w:pPr>
        <w:spacing w:line="240" w:lineRule="auto"/>
      </w:pPr>
      <w:r>
        <w:separator/>
      </w:r>
    </w:p>
  </w:footnote>
  <w:footnote w:type="continuationSeparator" w:id="0">
    <w:p w14:paraId="6FCD4223" w14:textId="77777777" w:rsidR="00137441" w:rsidRDefault="00137441">
      <w:pPr>
        <w:spacing w:line="240" w:lineRule="auto"/>
      </w:pPr>
      <w:r>
        <w:continuationSeparator/>
      </w:r>
    </w:p>
  </w:footnote>
  <w:footnote w:type="continuationNotice" w:id="1">
    <w:p w14:paraId="3443B400" w14:textId="77777777" w:rsidR="00137441" w:rsidRDefault="0013744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95A80" w14:textId="77777777" w:rsidR="000C68C8" w:rsidRDefault="00A50FFD">
    <w:pPr>
      <w:pStyle w:val="Zhlav"/>
      <w:tabs>
        <w:tab w:val="clear" w:pos="9072"/>
        <w:tab w:val="right" w:pos="9046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9866630" wp14:editId="140B13A9">
          <wp:simplePos x="0" y="0"/>
          <wp:positionH relativeFrom="page">
            <wp:posOffset>896619</wp:posOffset>
          </wp:positionH>
          <wp:positionV relativeFrom="page">
            <wp:posOffset>965200</wp:posOffset>
          </wp:positionV>
          <wp:extent cx="865506" cy="789941"/>
          <wp:effectExtent l="0" t="0" r="0" b="0"/>
          <wp:wrapNone/>
          <wp:docPr id="2" name="officeArt object" descr="FHA-wmf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df" descr="FHA-wmf.w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5506" cy="7899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57EE"/>
    <w:multiLevelType w:val="hybridMultilevel"/>
    <w:tmpl w:val="654444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32142"/>
    <w:multiLevelType w:val="multilevel"/>
    <w:tmpl w:val="3B5492A2"/>
    <w:lvl w:ilvl="0">
      <w:start w:val="1"/>
      <w:numFmt w:val="decimal"/>
      <w:lvlText w:val="%1."/>
      <w:lvlJc w:val="left"/>
      <w:pPr>
        <w:ind w:left="1388" w:hanging="360"/>
      </w:pPr>
    </w:lvl>
    <w:lvl w:ilvl="1">
      <w:start w:val="1"/>
      <w:numFmt w:val="decimal"/>
      <w:lvlText w:val="%2."/>
      <w:lvlJc w:val="left"/>
      <w:pPr>
        <w:ind w:left="1748" w:hanging="360"/>
      </w:pPr>
    </w:lvl>
    <w:lvl w:ilvl="2">
      <w:start w:val="1"/>
      <w:numFmt w:val="decimal"/>
      <w:lvlText w:val="%3."/>
      <w:lvlJc w:val="left"/>
      <w:pPr>
        <w:ind w:left="2108" w:hanging="360"/>
      </w:pPr>
    </w:lvl>
    <w:lvl w:ilvl="3">
      <w:start w:val="1"/>
      <w:numFmt w:val="decimal"/>
      <w:lvlText w:val="%4."/>
      <w:lvlJc w:val="left"/>
      <w:pPr>
        <w:ind w:left="2468" w:hanging="360"/>
      </w:pPr>
    </w:lvl>
    <w:lvl w:ilvl="4">
      <w:start w:val="1"/>
      <w:numFmt w:val="decimal"/>
      <w:lvlText w:val="%5."/>
      <w:lvlJc w:val="left"/>
      <w:pPr>
        <w:ind w:left="2828" w:hanging="360"/>
      </w:pPr>
    </w:lvl>
    <w:lvl w:ilvl="5">
      <w:start w:val="1"/>
      <w:numFmt w:val="decimal"/>
      <w:lvlText w:val="%6."/>
      <w:lvlJc w:val="left"/>
      <w:pPr>
        <w:ind w:left="3188" w:hanging="360"/>
      </w:pPr>
    </w:lvl>
    <w:lvl w:ilvl="6">
      <w:start w:val="1"/>
      <w:numFmt w:val="decimal"/>
      <w:lvlText w:val="%7."/>
      <w:lvlJc w:val="left"/>
      <w:pPr>
        <w:ind w:left="3548" w:hanging="360"/>
      </w:pPr>
    </w:lvl>
    <w:lvl w:ilvl="7">
      <w:start w:val="1"/>
      <w:numFmt w:val="decimal"/>
      <w:lvlText w:val="%8."/>
      <w:lvlJc w:val="left"/>
      <w:pPr>
        <w:ind w:left="3908" w:hanging="360"/>
      </w:pPr>
    </w:lvl>
    <w:lvl w:ilvl="8">
      <w:start w:val="1"/>
      <w:numFmt w:val="decimal"/>
      <w:lvlText w:val="%9."/>
      <w:lvlJc w:val="left"/>
      <w:pPr>
        <w:ind w:left="4268" w:hanging="360"/>
      </w:pPr>
    </w:lvl>
  </w:abstractNum>
  <w:abstractNum w:abstractNumId="2">
    <w:nsid w:val="7E7B1664"/>
    <w:multiLevelType w:val="hybridMultilevel"/>
    <w:tmpl w:val="654444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0E6843"/>
    <w:rsid w:val="00003FF3"/>
    <w:rsid w:val="00014599"/>
    <w:rsid w:val="00021ACD"/>
    <w:rsid w:val="00023439"/>
    <w:rsid w:val="00024B77"/>
    <w:rsid w:val="0003473D"/>
    <w:rsid w:val="0004459F"/>
    <w:rsid w:val="0005425E"/>
    <w:rsid w:val="00066AAA"/>
    <w:rsid w:val="0008062A"/>
    <w:rsid w:val="0008639C"/>
    <w:rsid w:val="00090DD8"/>
    <w:rsid w:val="0009756F"/>
    <w:rsid w:val="000B33BA"/>
    <w:rsid w:val="000B3821"/>
    <w:rsid w:val="000B4D9E"/>
    <w:rsid w:val="000C68C8"/>
    <w:rsid w:val="000C69F3"/>
    <w:rsid w:val="000E463D"/>
    <w:rsid w:val="000E6843"/>
    <w:rsid w:val="001264B6"/>
    <w:rsid w:val="001364AB"/>
    <w:rsid w:val="00137441"/>
    <w:rsid w:val="001621FD"/>
    <w:rsid w:val="00171712"/>
    <w:rsid w:val="00175AD9"/>
    <w:rsid w:val="00183BCC"/>
    <w:rsid w:val="00195E9F"/>
    <w:rsid w:val="001B5C3C"/>
    <w:rsid w:val="001C5432"/>
    <w:rsid w:val="001F16C5"/>
    <w:rsid w:val="00200BC3"/>
    <w:rsid w:val="00211ED5"/>
    <w:rsid w:val="00213458"/>
    <w:rsid w:val="00220F1F"/>
    <w:rsid w:val="002301F0"/>
    <w:rsid w:val="002304DD"/>
    <w:rsid w:val="0024345C"/>
    <w:rsid w:val="0024469B"/>
    <w:rsid w:val="00245CB6"/>
    <w:rsid w:val="00265CCF"/>
    <w:rsid w:val="00270BD5"/>
    <w:rsid w:val="002728E1"/>
    <w:rsid w:val="00282F92"/>
    <w:rsid w:val="00290E0C"/>
    <w:rsid w:val="00293253"/>
    <w:rsid w:val="002A390B"/>
    <w:rsid w:val="002F1B89"/>
    <w:rsid w:val="002F1E53"/>
    <w:rsid w:val="002F44C6"/>
    <w:rsid w:val="002F4A4B"/>
    <w:rsid w:val="00314101"/>
    <w:rsid w:val="00321E20"/>
    <w:rsid w:val="00336784"/>
    <w:rsid w:val="003539D8"/>
    <w:rsid w:val="003575BA"/>
    <w:rsid w:val="003614A3"/>
    <w:rsid w:val="00374917"/>
    <w:rsid w:val="00392A2F"/>
    <w:rsid w:val="00392C20"/>
    <w:rsid w:val="00395075"/>
    <w:rsid w:val="003D128A"/>
    <w:rsid w:val="003D309E"/>
    <w:rsid w:val="003D5593"/>
    <w:rsid w:val="003D6D94"/>
    <w:rsid w:val="003E72EB"/>
    <w:rsid w:val="00415814"/>
    <w:rsid w:val="00434844"/>
    <w:rsid w:val="0044756D"/>
    <w:rsid w:val="00456059"/>
    <w:rsid w:val="00457C43"/>
    <w:rsid w:val="00464BE0"/>
    <w:rsid w:val="004660CC"/>
    <w:rsid w:val="00496B31"/>
    <w:rsid w:val="004A2F56"/>
    <w:rsid w:val="004C10FE"/>
    <w:rsid w:val="004C69AD"/>
    <w:rsid w:val="004D1F1B"/>
    <w:rsid w:val="004F3AB7"/>
    <w:rsid w:val="004F50C2"/>
    <w:rsid w:val="00515156"/>
    <w:rsid w:val="00523A65"/>
    <w:rsid w:val="005464E6"/>
    <w:rsid w:val="00555E52"/>
    <w:rsid w:val="005934C6"/>
    <w:rsid w:val="00593869"/>
    <w:rsid w:val="005A781E"/>
    <w:rsid w:val="005A7CA6"/>
    <w:rsid w:val="005B02B7"/>
    <w:rsid w:val="005B2EB9"/>
    <w:rsid w:val="005C3E48"/>
    <w:rsid w:val="005D0042"/>
    <w:rsid w:val="00606CE7"/>
    <w:rsid w:val="00633435"/>
    <w:rsid w:val="00641BB5"/>
    <w:rsid w:val="006427B7"/>
    <w:rsid w:val="00642AB5"/>
    <w:rsid w:val="00647247"/>
    <w:rsid w:val="00650E6B"/>
    <w:rsid w:val="006522B7"/>
    <w:rsid w:val="00652547"/>
    <w:rsid w:val="006574A8"/>
    <w:rsid w:val="00670BA1"/>
    <w:rsid w:val="00680589"/>
    <w:rsid w:val="00691A75"/>
    <w:rsid w:val="00693E55"/>
    <w:rsid w:val="006F275B"/>
    <w:rsid w:val="006F7647"/>
    <w:rsid w:val="0071237B"/>
    <w:rsid w:val="00713065"/>
    <w:rsid w:val="00723F9A"/>
    <w:rsid w:val="00744998"/>
    <w:rsid w:val="00765837"/>
    <w:rsid w:val="007765E3"/>
    <w:rsid w:val="007805F3"/>
    <w:rsid w:val="00787512"/>
    <w:rsid w:val="00794283"/>
    <w:rsid w:val="00797611"/>
    <w:rsid w:val="007A1033"/>
    <w:rsid w:val="007A4D75"/>
    <w:rsid w:val="007B4A6D"/>
    <w:rsid w:val="007B66DD"/>
    <w:rsid w:val="007C0314"/>
    <w:rsid w:val="007C0652"/>
    <w:rsid w:val="007E006B"/>
    <w:rsid w:val="007E3224"/>
    <w:rsid w:val="007F3396"/>
    <w:rsid w:val="00802615"/>
    <w:rsid w:val="008070A8"/>
    <w:rsid w:val="008115A3"/>
    <w:rsid w:val="00815719"/>
    <w:rsid w:val="0083666C"/>
    <w:rsid w:val="00840AA8"/>
    <w:rsid w:val="008503CF"/>
    <w:rsid w:val="008639DB"/>
    <w:rsid w:val="00873BB4"/>
    <w:rsid w:val="00873F44"/>
    <w:rsid w:val="0088769A"/>
    <w:rsid w:val="008A0169"/>
    <w:rsid w:val="008A0A32"/>
    <w:rsid w:val="008A15CA"/>
    <w:rsid w:val="008D0991"/>
    <w:rsid w:val="008D621D"/>
    <w:rsid w:val="008E3626"/>
    <w:rsid w:val="0090786D"/>
    <w:rsid w:val="00911CFB"/>
    <w:rsid w:val="009137F9"/>
    <w:rsid w:val="00915CE7"/>
    <w:rsid w:val="00921DF0"/>
    <w:rsid w:val="00927753"/>
    <w:rsid w:val="00933588"/>
    <w:rsid w:val="0094257D"/>
    <w:rsid w:val="009913C6"/>
    <w:rsid w:val="009A6B72"/>
    <w:rsid w:val="009B4228"/>
    <w:rsid w:val="009B44F7"/>
    <w:rsid w:val="009C0267"/>
    <w:rsid w:val="009C2E6B"/>
    <w:rsid w:val="009F679D"/>
    <w:rsid w:val="00A07636"/>
    <w:rsid w:val="00A324F8"/>
    <w:rsid w:val="00A50FFD"/>
    <w:rsid w:val="00A61EE0"/>
    <w:rsid w:val="00A64ACD"/>
    <w:rsid w:val="00A81B43"/>
    <w:rsid w:val="00A92B11"/>
    <w:rsid w:val="00A93DE3"/>
    <w:rsid w:val="00AA3C8C"/>
    <w:rsid w:val="00AA3F82"/>
    <w:rsid w:val="00AB7E1D"/>
    <w:rsid w:val="00AC257B"/>
    <w:rsid w:val="00AE035F"/>
    <w:rsid w:val="00AE0E46"/>
    <w:rsid w:val="00AE6D0B"/>
    <w:rsid w:val="00AF5C3D"/>
    <w:rsid w:val="00AF6D7E"/>
    <w:rsid w:val="00B02131"/>
    <w:rsid w:val="00B1060E"/>
    <w:rsid w:val="00B14461"/>
    <w:rsid w:val="00B167C8"/>
    <w:rsid w:val="00B2291F"/>
    <w:rsid w:val="00B25C7C"/>
    <w:rsid w:val="00B3108B"/>
    <w:rsid w:val="00B311C8"/>
    <w:rsid w:val="00B50B80"/>
    <w:rsid w:val="00B522D2"/>
    <w:rsid w:val="00B66CE5"/>
    <w:rsid w:val="00B76862"/>
    <w:rsid w:val="00B827FC"/>
    <w:rsid w:val="00B83647"/>
    <w:rsid w:val="00B84D2B"/>
    <w:rsid w:val="00B96B91"/>
    <w:rsid w:val="00BA2073"/>
    <w:rsid w:val="00BC1839"/>
    <w:rsid w:val="00BD396E"/>
    <w:rsid w:val="00BD5BD7"/>
    <w:rsid w:val="00BD7897"/>
    <w:rsid w:val="00BE4712"/>
    <w:rsid w:val="00BF5BB7"/>
    <w:rsid w:val="00C02378"/>
    <w:rsid w:val="00C03578"/>
    <w:rsid w:val="00C07E7F"/>
    <w:rsid w:val="00C34604"/>
    <w:rsid w:val="00C53BD3"/>
    <w:rsid w:val="00C54093"/>
    <w:rsid w:val="00C62A55"/>
    <w:rsid w:val="00C674D6"/>
    <w:rsid w:val="00C71F79"/>
    <w:rsid w:val="00C75700"/>
    <w:rsid w:val="00C80915"/>
    <w:rsid w:val="00C849BB"/>
    <w:rsid w:val="00C87541"/>
    <w:rsid w:val="00C911A0"/>
    <w:rsid w:val="00CA6B22"/>
    <w:rsid w:val="00CB4873"/>
    <w:rsid w:val="00CB728A"/>
    <w:rsid w:val="00D11384"/>
    <w:rsid w:val="00D13C5C"/>
    <w:rsid w:val="00D21B3F"/>
    <w:rsid w:val="00D268EE"/>
    <w:rsid w:val="00D27206"/>
    <w:rsid w:val="00D55B6F"/>
    <w:rsid w:val="00D84F87"/>
    <w:rsid w:val="00D8722A"/>
    <w:rsid w:val="00D93856"/>
    <w:rsid w:val="00D96E21"/>
    <w:rsid w:val="00DA78C5"/>
    <w:rsid w:val="00DB7EB0"/>
    <w:rsid w:val="00DC1225"/>
    <w:rsid w:val="00DD4EF4"/>
    <w:rsid w:val="00DE0DD3"/>
    <w:rsid w:val="00DE21C9"/>
    <w:rsid w:val="00E02991"/>
    <w:rsid w:val="00E0604E"/>
    <w:rsid w:val="00E10FD6"/>
    <w:rsid w:val="00E23EF6"/>
    <w:rsid w:val="00E37AF7"/>
    <w:rsid w:val="00E41310"/>
    <w:rsid w:val="00E61C4B"/>
    <w:rsid w:val="00E85EA0"/>
    <w:rsid w:val="00E925E0"/>
    <w:rsid w:val="00E9396D"/>
    <w:rsid w:val="00E9625B"/>
    <w:rsid w:val="00EA118A"/>
    <w:rsid w:val="00EC4575"/>
    <w:rsid w:val="00ED0E2E"/>
    <w:rsid w:val="00ED5A00"/>
    <w:rsid w:val="00ED5FB2"/>
    <w:rsid w:val="00ED6945"/>
    <w:rsid w:val="00ED77C2"/>
    <w:rsid w:val="00EE7B2A"/>
    <w:rsid w:val="00EF1732"/>
    <w:rsid w:val="00EF1CD3"/>
    <w:rsid w:val="00F0001F"/>
    <w:rsid w:val="00F16735"/>
    <w:rsid w:val="00F171D4"/>
    <w:rsid w:val="00F17A0B"/>
    <w:rsid w:val="00F2090E"/>
    <w:rsid w:val="00F21F72"/>
    <w:rsid w:val="00F348FD"/>
    <w:rsid w:val="00F4063F"/>
    <w:rsid w:val="00F4298A"/>
    <w:rsid w:val="00F7149D"/>
    <w:rsid w:val="00FA5F9A"/>
    <w:rsid w:val="00FB1114"/>
    <w:rsid w:val="00FB6B9A"/>
    <w:rsid w:val="00FF033F"/>
    <w:rsid w:val="00FF5743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68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line="100" w:lineRule="atLeast"/>
    </w:pPr>
    <w:rPr>
      <w:rFonts w:ascii="Palatino Linotype" w:eastAsia="Times New Roman" w:hAnsi="Palatino Linotype"/>
      <w:sz w:val="22"/>
      <w:szCs w:val="24"/>
      <w:bdr w:val="none" w:sz="0" w:space="0" w:color="auto"/>
      <w:lang w:eastAsia="ar-SA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hlav">
    <w:name w:val="heade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Zpat">
    <w:name w:val="footer"/>
    <w:link w:val="ZpatChar"/>
    <w:uiPriority w:val="99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ZpatChar">
    <w:name w:val="Zápatí Char"/>
    <w:basedOn w:val="Standardnpsmoodstavce"/>
    <w:link w:val="Zpat"/>
    <w:uiPriority w:val="99"/>
    <w:rsid w:val="008A0169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A0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0169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68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line="100" w:lineRule="atLeast"/>
    </w:pPr>
    <w:rPr>
      <w:rFonts w:ascii="Palatino Linotype" w:eastAsia="Times New Roman" w:hAnsi="Palatino Linotype"/>
      <w:sz w:val="22"/>
      <w:szCs w:val="24"/>
      <w:bdr w:val="none" w:sz="0" w:space="0" w:color="auto"/>
      <w:lang w:eastAsia="ar-SA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hlav">
    <w:name w:val="heade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Zpat">
    <w:name w:val="footer"/>
    <w:link w:val="ZpatChar"/>
    <w:uiPriority w:val="99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ZpatChar">
    <w:name w:val="Zápatí Char"/>
    <w:basedOn w:val="Standardnpsmoodstavce"/>
    <w:link w:val="Zpat"/>
    <w:uiPriority w:val="99"/>
    <w:rsid w:val="008A0169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A0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0169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&#225;ce\000%20ADMIN\letterhead\FHA%20hlavickovy%20papir.dotx" TargetMode="External"/></Relationships>
</file>

<file path=word/theme/theme1.xml><?xml version="1.0" encoding="utf-8"?>
<a:theme xmlns:a="http://schemas.openxmlformats.org/drawingml/2006/main" name="Motiv systému Office">
  <a:themeElements>
    <a:clrScheme name="Motiv systém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ystému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ystém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1864-8E2F-4496-8113-B6202D4C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FHA hlavickovy papir.dotx</Template>
  <TotalTime>87</TotalTime>
  <Pages>5</Pages>
  <Words>1148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Hajný</dc:creator>
  <cp:lastModifiedBy>Filip Hajný</cp:lastModifiedBy>
  <cp:revision>15</cp:revision>
  <cp:lastPrinted>2019-01-22T10:12:00Z</cp:lastPrinted>
  <dcterms:created xsi:type="dcterms:W3CDTF">2019-12-11T11:28:00Z</dcterms:created>
  <dcterms:modified xsi:type="dcterms:W3CDTF">2019-12-11T12:54:00Z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