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u w:val="single"/>
        </w:rPr>
      </w:pPr>
      <w:r>
        <w:rPr>
          <w:u w:val="single"/>
        </w:rPr>
        <w:t>Usnesení Zastupitelstva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114" w:after="114"/>
        <w:rPr/>
      </w:pPr>
      <w:r>
        <w:rPr/>
        <w:t>Zastupitelstvo hl. m. Prahy</w:t>
      </w:r>
    </w:p>
    <w:p>
      <w:pPr>
        <w:pStyle w:val="Normal"/>
        <w:numPr>
          <w:ilvl w:val="0"/>
          <w:numId w:val="2"/>
        </w:numPr>
        <w:spacing w:lineRule="auto" w:line="276" w:before="114" w:after="114"/>
        <w:rPr/>
      </w:pPr>
      <w:r>
        <w:rPr/>
        <w:t>schvaluje Zásady uvedené v příloze č. 1</w:t>
      </w:r>
    </w:p>
    <w:p>
      <w:pPr>
        <w:pStyle w:val="Normal"/>
        <w:numPr>
          <w:ilvl w:val="0"/>
          <w:numId w:val="2"/>
        </w:numPr>
        <w:spacing w:lineRule="auto" w:line="276" w:before="114" w:after="114"/>
        <w:rPr/>
      </w:pPr>
      <w:r>
        <w:rPr/>
        <w:t>ukládá Radě hl. m. Prahy uvést obsazení orgánů</w:t>
      </w:r>
      <w:r>
        <w:rPr/>
        <w:t xml:space="preserve"> obchodních společností s majetkovou účastí hl. m. Prahy</w:t>
      </w:r>
      <w:r>
        <w:rPr/>
        <w:t xml:space="preserve"> do souladu se Zásadami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/>
      </w:pPr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  <w:t>Příloha č. 1</w:t>
      </w:r>
    </w:p>
    <w:p>
      <w:pPr>
        <w:pStyle w:val="Normal"/>
        <w:spacing w:lineRule="auto" w:line="276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rPr/>
      </w:pPr>
      <w:r>
        <w:rPr/>
        <w:t xml:space="preserve">Základní zásady pro obsazování míst v </w:t>
      </w:r>
      <w:bookmarkStart w:id="0" w:name="__DdeLink__883_1747166460"/>
      <w:r>
        <w:rPr/>
        <w:t>orgánech obchodních společností s majetkovou účastí hl. m. Prahy</w:t>
      </w:r>
      <w:bookmarkEnd w:id="0"/>
      <w:r>
        <w:rPr/>
        <w:t xml:space="preserve"> (dále jen „Zásady“)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>Tyto zásady se uplatňují při nominacích do dozorčích rad a představenstev společností, jejichž je hl. m. Praha akcionářem (dále jen „městské společnosti“). Představitelé města též dbají o to, aby se uplatňovala i při volbách do dozorčích rad a představenstev společností, v nichž mají městské společnosti přímý či nepřímý akciový podíl.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>Návrh na volbu dle bodu 1 předkládají Radě hl. m. Prahy předsedové zastupitelských klubů; ty k tomu s dostatečným předstihem vyzve člen Rady hl. m. Prahy, který má příslušnou společnost v gesci. Zároveň jim zašle informace o kritériích a postupu pro výběr kandidátů.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>Návrhy spolu s životopisy kandidátů jsou před projednáním v Radě hl. m. Prahy předloženy předsedům zastupitelských klubů ke stanovisku.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>Nominant musí předložit životopis, výpis z rejstříku trestů ne starší než 3 měsíce bez záznamu a čestné prohlášení, že se nominant zastupováním hl. m. Prahy nedostane do střetu veřejného zájmu se zájmy osobními. Životopis zvolených kandidátů spolu s uvedením jména toho, kdo je do funkce nominoval, musí být zveřejněn.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 xml:space="preserve">Orgán, který rozhoduje o nominaci či volbě kandidátů do dozorčí rady či představenstva, </w:t>
      </w:r>
      <w:r>
        <w:rPr/>
        <w:t>odůvodní svůj výběr kandidátů a toto odůvodnění zveřejní na internetových stránkách.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>Člen Zastupitelstva hl. m. Prahy může být členem dozorčí rady nejvýše 2 společností uvedených v bodu 1.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>Členem představenstva společností uvedených v bodu 1 může být člen Zastupitelstva hl. m. Prahy pouze v odůvodněných případech na základě rozhodnutí RHMP; toto odůvodnění musí být jako podklad rozhodnutí zveřejněno.</w:t>
      </w:r>
    </w:p>
    <w:p>
      <w:pPr>
        <w:pStyle w:val="Normal"/>
        <w:numPr>
          <w:ilvl w:val="0"/>
          <w:numId w:val="1"/>
        </w:numPr>
        <w:spacing w:lineRule="auto" w:line="276" w:before="114" w:after="114"/>
        <w:rPr/>
      </w:pPr>
      <w:r>
        <w:rPr/>
        <w:t>Účinnost těchto zásad je 1. 5. 2017.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cs-CZ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LibreOffice/5.2.6.2$Linux_X86_64 LibreOffice_project/20$Build-2</Application>
  <Pages>2</Pages>
  <Words>303</Words>
  <Characters>1669</Characters>
  <CharactersWithSpaces>1949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2017-03-22T17:38:22Z</dcterms:created>
  <dc:creator>Zabransky Adam</dc:creator>
  <dc:description/>
  <dc:language>cs-CZ</dc:language>
  <cp:lastModifiedBy>Zabransky Adam</cp:lastModifiedBy>
  <dcterms:modified xsi:type="dcterms:W3CDTF">2017-03-22T18:49:07Z</dcterms:modified>
  <cp:revision>38</cp:revision>
  <dc:subject/>
  <dc:title/>
</cp:coreProperties>
</file>