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Zastupitelstvo hl. m. Prahy</w:t>
      </w:r>
    </w:p>
    <w:p>
      <w:pPr>
        <w:pStyle w:val="Normal"/>
        <w:jc w:val="center"/>
        <w:rPr/>
      </w:pPr>
      <w:r>
        <w:rPr/>
        <w:t>Klub zastupitelů za Piráty</w:t>
      </w:r>
    </w:p>
    <w:p>
      <w:pPr>
        <w:pStyle w:val="Tlotextu"/>
        <w:jc w:val="right"/>
        <w:rPr/>
      </w:pPr>
      <w:r>
        <w:rPr/>
      </w:r>
    </w:p>
    <w:p>
      <w:pPr>
        <w:pStyle w:val="Tlotextu"/>
        <w:jc w:val="left"/>
        <w:rPr>
          <w:i/>
          <w:iCs/>
          <w:u w:val="single"/>
        </w:rPr>
      </w:pPr>
      <w:r>
        <w:rPr>
          <w:i/>
          <w:iCs/>
          <w:u w:val="single"/>
        </w:rPr>
        <w:t>K projednání na zasedání Zastupitelstva hl. m. Prahy konaném dne 5. 11. 2015</w:t>
      </w:r>
    </w:p>
    <w:p>
      <w:pPr>
        <w:pStyle w:val="Tlotextu"/>
        <w:jc w:val="left"/>
        <w:rPr/>
      </w:pPr>
      <w:r>
        <w:rPr/>
      </w:r>
    </w:p>
    <w:p>
      <w:pPr>
        <w:pStyle w:val="Tlotextu"/>
        <w:rPr>
          <w:b/>
          <w:bCs/>
        </w:rPr>
      </w:pPr>
      <w:r>
        <w:rPr>
          <w:b/>
          <w:bCs/>
        </w:rPr>
        <w:t xml:space="preserve">Návrh usnesení k transparentním nominacím </w:t>
      </w:r>
      <w:bookmarkStart w:id="0" w:name="__DdeLink__1038_1575043293"/>
      <w:r>
        <w:rPr>
          <w:b/>
          <w:bCs/>
        </w:rPr>
        <w:t>do orgánů městských společností</w:t>
      </w:r>
      <w:bookmarkEnd w:id="0"/>
      <w:r>
        <w:rPr>
          <w:b/>
          <w:bCs/>
        </w:rPr>
        <w:t xml:space="preserve"> </w:t>
      </w:r>
    </w:p>
    <w:p>
      <w:pPr>
        <w:pStyle w:val="Tlotextu"/>
        <w:rPr/>
      </w:pPr>
      <w:r>
        <w:rPr/>
        <w:t>Zastupitelstvo hl. m. Prahy</w:t>
      </w:r>
    </w:p>
    <w:p>
      <w:pPr>
        <w:pStyle w:val="Tlotextu"/>
        <w:numPr>
          <w:ilvl w:val="0"/>
          <w:numId w:val="2"/>
        </w:numPr>
        <w:rPr/>
      </w:pPr>
      <w:r>
        <w:rPr>
          <w:b/>
          <w:bCs/>
        </w:rPr>
        <w:t>schvaluje</w:t>
      </w:r>
      <w:r>
        <w:rPr/>
        <w:t xml:space="preserve"> pravidla uvedená v příloze č. 1,</w:t>
      </w:r>
    </w:p>
    <w:p>
      <w:pPr>
        <w:pStyle w:val="Tlotextu"/>
        <w:numPr>
          <w:ilvl w:val="0"/>
          <w:numId w:val="2"/>
        </w:numPr>
        <w:rPr/>
      </w:pPr>
      <w:r>
        <w:rPr>
          <w:b/>
          <w:bCs/>
        </w:rPr>
        <w:t>ukládá</w:t>
      </w:r>
      <w:r>
        <w:rPr>
          <w:b w:val="false"/>
          <w:bCs w:val="false"/>
        </w:rPr>
        <w:t xml:space="preserve"> </w:t>
      </w:r>
      <w:r>
        <w:rPr/>
        <w:t xml:space="preserve">Radě hl. m. Prahy a zástupcům hl. m. Prahy na valných hromadách akciových společností s majetkovou účastí hl. m. Prahy dodržovat pravidla podle bodu 1. a zajistit jejich přiměřené použití i </w:t>
      </w:r>
      <w:r>
        <w:rPr/>
        <w:t xml:space="preserve">pro orgány nevolené valnou hromadou a pro </w:t>
      </w:r>
      <w:r>
        <w:rPr/>
        <w:t>dceřiné a další ovládané společnosti v nejvyšší možné míře,</w:t>
      </w:r>
    </w:p>
    <w:p>
      <w:pPr>
        <w:pStyle w:val="Tlotextu"/>
        <w:numPr>
          <w:ilvl w:val="0"/>
          <w:numId w:val="2"/>
        </w:numPr>
        <w:rPr/>
      </w:pPr>
      <w:r>
        <w:rPr>
          <w:b/>
          <w:bCs/>
        </w:rPr>
        <w:t>ukládá</w:t>
      </w:r>
      <w:r>
        <w:rPr/>
        <w:t xml:space="preserve"> Radě hl. m. Prahy předložit Zastupitelstvu hl. m. Prahy návrh vlastnické politiky hl. m. Prahy, která stanoví požadavky hl. m. Prahy na činnost společností a způsob kontroly jejich naplňování.</w:t>
      </w:r>
    </w:p>
    <w:p>
      <w:pPr>
        <w:pStyle w:val="Tlotextu"/>
        <w:jc w:val="right"/>
        <w:rPr/>
      </w:pPr>
      <w:r>
        <w:rPr/>
        <w:t>Termín: 1. 1. 2016</w:t>
      </w:r>
    </w:p>
    <w:p>
      <w:pPr>
        <w:pStyle w:val="Tlotextu"/>
        <w:jc w:val="left"/>
        <w:rPr/>
      </w:pPr>
      <w:r>
        <w:rPr/>
      </w:r>
    </w:p>
    <w:p>
      <w:pPr>
        <w:pStyle w:val="Tlotextu"/>
        <w:jc w:val="left"/>
        <w:rPr/>
      </w:pPr>
      <w:r>
        <w:rPr/>
        <w:t xml:space="preserve">V Praze dne 26. 10. 2015 </w:t>
      </w:r>
    </w:p>
    <w:p>
      <w:pPr>
        <w:pStyle w:val="Tlotextu"/>
        <w:jc w:val="center"/>
        <w:rPr/>
      </w:pPr>
      <w:r>
        <w:rPr/>
        <w:t>Mgr. Jakub Michálek</w:t>
        <w:br/>
        <w:t>předseda klubu Pirátů</w:t>
      </w:r>
    </w:p>
    <w:p>
      <w:pPr>
        <w:pStyle w:val="Tlotextu"/>
        <w:jc w:val="left"/>
        <w:rPr/>
      </w:pPr>
      <w:r>
        <w:rPr/>
      </w:r>
    </w:p>
    <w:p>
      <w:pPr>
        <w:pStyle w:val="Tlotextu"/>
        <w:pageBreakBefore/>
        <w:jc w:val="right"/>
        <w:rPr>
          <w:b w:val="false"/>
          <w:bCs w:val="false"/>
          <w:i/>
          <w:iCs/>
          <w:u w:val="single"/>
        </w:rPr>
      </w:pPr>
      <w:r>
        <w:rPr>
          <w:b w:val="false"/>
          <w:bCs w:val="false"/>
          <w:i/>
          <w:iCs/>
          <w:u w:val="single"/>
        </w:rPr>
        <w:t>Příloha č. 1 k usnesení</w:t>
      </w:r>
    </w:p>
    <w:p>
      <w:pPr>
        <w:pStyle w:val="Podtitul"/>
        <w:rPr/>
      </w:pPr>
      <w:r>
        <w:rPr/>
      </w:r>
    </w:p>
    <w:p>
      <w:pPr>
        <w:pStyle w:val="Podtitul"/>
        <w:rPr/>
      </w:pPr>
      <w:r>
        <w:rPr/>
        <w:t xml:space="preserve">Pravidla pro transparentní nominace </w:t>
        <w:br/>
        <w:t xml:space="preserve">do orgánů městských společností </w:t>
      </w:r>
    </w:p>
    <w:p>
      <w:pPr>
        <w:pStyle w:val="Tlotextu"/>
        <w:rPr/>
      </w:pPr>
      <w:r>
        <w:rPr/>
      </w:r>
    </w:p>
    <w:p>
      <w:pPr>
        <w:pStyle w:val="Tlotextu"/>
        <w:rPr/>
      </w:pPr>
      <w:r>
        <w:rPr/>
        <w:t>Tato pravidla se týkají každé akciové společnosti, ve které má hl. m. Praha majetkový podíl (dále jen „společnost“). Upravují nominace osob, které navrhuje či prosazuje hl. m. Praha do orgánu společnosti, např. prostřednictvím svých orgánů, ovládaných společností, majetkových účastí či akcionářských dohod (dále jen „zástupci města“) a dále úkoly a odměňování zástupců města.</w:t>
      </w:r>
    </w:p>
    <w:p>
      <w:pPr>
        <w:pStyle w:val="Nadpis3"/>
        <w:numPr>
          <w:ilvl w:val="2"/>
          <w:numId w:val="1"/>
        </w:numPr>
        <w:rPr/>
      </w:pPr>
      <w:r>
        <w:rPr/>
        <w:t>Obecné předpoklady</w:t>
      </w:r>
    </w:p>
    <w:p>
      <w:pPr>
        <w:pStyle w:val="Tlotextu"/>
        <w:numPr>
          <w:ilvl w:val="0"/>
          <w:numId w:val="3"/>
        </w:numPr>
        <w:rPr/>
      </w:pPr>
      <w:r>
        <w:rPr/>
        <w:t>Zástupce města v orgánu společnosti nesmí mít záznam o odsouzení v trestním rejstříku,</w:t>
      </w:r>
      <w:r>
        <w:rPr>
          <w:rStyle w:val="Ukotvenpoznmkypodarou"/>
        </w:rPr>
        <w:footnoteReference w:id="2"/>
      </w:r>
      <w:r>
        <w:rPr/>
        <w:t xml:space="preserve"> nesmí být ve střetu zájmů</w:t>
      </w:r>
      <w:r>
        <w:rPr>
          <w:rStyle w:val="Ukotvenpoznmkypodarou"/>
        </w:rPr>
        <w:footnoteReference w:id="3"/>
      </w:r>
      <w:r>
        <w:rPr/>
        <w:t xml:space="preserve"> a jeho dosavadní působení nesmí ohrozit důvěru veřejnosti v řádný a poctivý výkon funkce. </w:t>
      </w:r>
    </w:p>
    <w:p>
      <w:pPr>
        <w:pStyle w:val="Tlotextu"/>
        <w:numPr>
          <w:ilvl w:val="0"/>
          <w:numId w:val="3"/>
        </w:numPr>
        <w:rPr/>
      </w:pPr>
      <w:r>
        <w:rPr/>
        <w:t>Jeden člověk může být zástupcem města nejvýše ve dvou společnostech a musí mít dostatečný pracovní čas na to, aby se mohl výkonu funkce věnovat s nezbytnou pečlivostí.</w:t>
      </w:r>
    </w:p>
    <w:p>
      <w:pPr>
        <w:pStyle w:val="Nadpis3"/>
        <w:numPr>
          <w:ilvl w:val="2"/>
          <w:numId w:val="1"/>
        </w:numPr>
        <w:rPr/>
      </w:pPr>
      <w:r>
        <w:rPr/>
        <w:t>Nominační postup</w:t>
      </w:r>
    </w:p>
    <w:p>
      <w:pPr>
        <w:pStyle w:val="Tlotextu"/>
        <w:numPr>
          <w:ilvl w:val="0"/>
          <w:numId w:val="4"/>
        </w:numPr>
        <w:rPr/>
      </w:pPr>
      <w:r>
        <w:rPr/>
        <w:t xml:space="preserve">Zástupci města se vybírají v průhledném nominačním řízení. </w:t>
      </w:r>
    </w:p>
    <w:p>
      <w:pPr>
        <w:pStyle w:val="Tlotextu"/>
        <w:numPr>
          <w:ilvl w:val="0"/>
          <w:numId w:val="4"/>
        </w:numPr>
        <w:rPr/>
      </w:pPr>
      <w:r>
        <w:rPr/>
        <w:t>Každý uchazeč o nominaci dodá pro účely projednání své nominace životopis, který se zveřejní na webu dostatečnou dobu před projednáním.</w:t>
      </w:r>
    </w:p>
    <w:p>
      <w:pPr>
        <w:pStyle w:val="Tlotextu"/>
        <w:numPr>
          <w:ilvl w:val="0"/>
          <w:numId w:val="4"/>
        </w:numPr>
        <w:rPr/>
      </w:pPr>
      <w:r>
        <w:rPr/>
        <w:t>Nominační komise svým usnesením doporučí politickou či odbornou nominaci, pokud</w:t>
      </w:r>
      <w:r>
        <w:rPr/>
        <w:t xml:space="preserve"> </w:t>
      </w:r>
      <w:r>
        <w:rPr/>
        <w:t xml:space="preserve">uchazeč </w:t>
      </w:r>
      <w:r>
        <w:rPr/>
        <w:t xml:space="preserve">splňuje </w:t>
      </w:r>
      <w:r>
        <w:rPr/>
        <w:t xml:space="preserve">předpoklady podle zákona a těchto pravidel a je vhodný pro řádný výkon funkce. </w:t>
      </w:r>
    </w:p>
    <w:p>
      <w:pPr>
        <w:pStyle w:val="Tlotextu"/>
        <w:numPr>
          <w:ilvl w:val="0"/>
          <w:numId w:val="4"/>
        </w:numPr>
        <w:rPr/>
      </w:pPr>
      <w:r>
        <w:rPr/>
        <w:t>Je v působnosti Rady hl. m. Prahy</w:t>
      </w:r>
      <w:r>
        <w:rPr>
          <w:rStyle w:val="Ukotvenpoznmkypodarou"/>
        </w:rPr>
        <w:footnoteReference w:id="4"/>
      </w:r>
      <w:r>
        <w:rPr/>
        <w:t xml:space="preserve"> nebo pověřeného zástupce</w:t>
      </w:r>
      <w:r>
        <w:rPr>
          <w:rStyle w:val="Ukotvenpoznmkypodarou"/>
        </w:rPr>
        <w:footnoteReference w:id="5"/>
      </w:r>
      <w:r>
        <w:rPr/>
        <w:t xml:space="preserve"> </w:t>
      </w:r>
      <w:r>
        <w:rPr/>
        <w:t xml:space="preserve">města </w:t>
      </w:r>
      <w:r>
        <w:rPr/>
        <w:t xml:space="preserve">hlasovat </w:t>
      </w:r>
      <w:r>
        <w:rPr/>
        <w:t xml:space="preserve">v rámci valné hromady </w:t>
      </w:r>
      <w:r>
        <w:rPr/>
        <w:t xml:space="preserve">o </w:t>
      </w:r>
      <w:r>
        <w:rPr/>
        <w:t>volbě</w:t>
      </w:r>
      <w:r>
        <w:rPr/>
        <w:t xml:space="preserve"> zástupc</w:t>
      </w:r>
      <w:r>
        <w:rPr/>
        <w:t>e</w:t>
      </w:r>
      <w:r>
        <w:rPr/>
        <w:t xml:space="preserve"> města </w:t>
      </w:r>
      <w:r>
        <w:rPr/>
        <w:t>v orgánu společnosti</w:t>
      </w:r>
      <w:r>
        <w:rPr/>
        <w:t xml:space="preserve">. Pokud </w:t>
      </w:r>
      <w:r>
        <w:rPr/>
        <w:t>hlasují</w:t>
      </w:r>
      <w:r>
        <w:rPr/>
        <w:t xml:space="preserve"> </w:t>
      </w:r>
      <w:r>
        <w:rPr/>
        <w:t xml:space="preserve">při volbě zástupce města </w:t>
      </w:r>
      <w:r>
        <w:rPr/>
        <w:t xml:space="preserve">v orgánu společnosti </w:t>
      </w:r>
      <w:r>
        <w:rPr/>
        <w:t>pro osobu</w:t>
      </w:r>
      <w:r>
        <w:rPr/>
        <w:t>, která nemá doporučení nominační komise, jsou povinni to zdůvodnit.</w:t>
      </w:r>
    </w:p>
    <w:p>
      <w:pPr>
        <w:pStyle w:val="Tlotextu"/>
        <w:numPr>
          <w:ilvl w:val="0"/>
          <w:numId w:val="4"/>
        </w:numPr>
        <w:rPr/>
      </w:pPr>
      <w:r>
        <w:rPr/>
        <w:t xml:space="preserve">Doporučení nominační komise a rozhodnutí o jmenování budou zveřejněny na webu i s odůvodněním, jak daný kandidát naplňuje stanovené předpoklady. </w:t>
      </w:r>
    </w:p>
    <w:p>
      <w:pPr>
        <w:pStyle w:val="Nadpis3"/>
        <w:numPr>
          <w:ilvl w:val="2"/>
          <w:numId w:val="1"/>
        </w:numPr>
        <w:rPr/>
      </w:pPr>
      <w:r>
        <w:rPr/>
        <w:t>Politické nominace</w:t>
      </w:r>
    </w:p>
    <w:p>
      <w:pPr>
        <w:pStyle w:val="Tlotextu"/>
        <w:numPr>
          <w:ilvl w:val="0"/>
          <w:numId w:val="5"/>
        </w:numPr>
        <w:rPr/>
      </w:pPr>
      <w:r>
        <w:rPr/>
        <w:t>Do dozorčí rady či jiného kontrolního orgánu společnosti nominují nejvýše polovinu zástupců města kluby zastupitelů (dále jen „politické nominace“).</w:t>
      </w:r>
    </w:p>
    <w:p>
      <w:pPr>
        <w:pStyle w:val="Tlotextu"/>
        <w:numPr>
          <w:ilvl w:val="0"/>
          <w:numId w:val="5"/>
        </w:numPr>
        <w:rPr/>
      </w:pPr>
      <w:r>
        <w:rPr/>
        <w:t>Je vhodné, aby v kontrolním orgánu větších společností byl alespoň jeden zástupce opozice.</w:t>
      </w:r>
    </w:p>
    <w:p>
      <w:pPr>
        <w:pStyle w:val="Nadpis3"/>
        <w:numPr>
          <w:ilvl w:val="2"/>
          <w:numId w:val="1"/>
        </w:numPr>
        <w:rPr/>
      </w:pPr>
      <w:r>
        <w:rPr/>
        <w:t>Odborné nominace</w:t>
      </w:r>
    </w:p>
    <w:p>
      <w:pPr>
        <w:pStyle w:val="Tlotextu"/>
        <w:numPr>
          <w:ilvl w:val="0"/>
          <w:numId w:val="6"/>
        </w:numPr>
        <w:rPr/>
      </w:pPr>
      <w:r>
        <w:rPr/>
        <w:t xml:space="preserve">Ostatní zástupci města v kontrolním orgánu jsou nominováni z řad osob, které prokazatelně disponují odbornou kompetencí pro výkon funkce (dále jen „odborné nominace“). </w:t>
      </w:r>
    </w:p>
    <w:p>
      <w:pPr>
        <w:pStyle w:val="Tlotextu"/>
        <w:numPr>
          <w:ilvl w:val="0"/>
          <w:numId w:val="6"/>
        </w:numPr>
        <w:rPr/>
      </w:pPr>
      <w:r>
        <w:rPr/>
        <w:t>Předseda kontrolního orgánu, všichni členové představenstva či jiného výkonného orgánu jsou odbornými nominacemi.</w:t>
      </w:r>
    </w:p>
    <w:p>
      <w:pPr>
        <w:pStyle w:val="Tlotextu"/>
        <w:numPr>
          <w:ilvl w:val="0"/>
          <w:numId w:val="6"/>
        </w:numPr>
        <w:rPr/>
      </w:pPr>
      <w:r>
        <w:rPr/>
        <w:t>U odborných nominací Rada hl. m. Prahy na návrh nominační komise po projednání se společností předem určí, jaká odbornost a kvalita praxe je předpokladem pro výkon funkce.</w:t>
      </w:r>
    </w:p>
    <w:p>
      <w:pPr>
        <w:pStyle w:val="Nadpis3"/>
        <w:numPr>
          <w:ilvl w:val="2"/>
          <w:numId w:val="1"/>
        </w:numPr>
        <w:rPr/>
      </w:pPr>
      <w:r>
        <w:rPr/>
        <w:t>Úkoly a odměňování členů orgánů</w:t>
      </w:r>
    </w:p>
    <w:p>
      <w:pPr>
        <w:pStyle w:val="Tlotextu"/>
        <w:numPr>
          <w:ilvl w:val="0"/>
          <w:numId w:val="7"/>
        </w:numPr>
        <w:rPr/>
      </w:pPr>
      <w:r>
        <w:rPr/>
        <w:t>Zástupce města v kontrolním orgánu dohlíží na dodržení zákona a veřejný zájem, vyhodnocuje činnost společnosti a naplňování vlastnické politiky hl. m. Prahy a informuje o nich orgány hl. m. Prahy. Zjistí-li nedostatky a nepodaří-li se je vyřešit, požádá o řešení valnou hromadu.</w:t>
      </w:r>
    </w:p>
    <w:p>
      <w:pPr>
        <w:pStyle w:val="Tlotextu"/>
        <w:numPr>
          <w:ilvl w:val="0"/>
          <w:numId w:val="7"/>
        </w:numPr>
        <w:rPr/>
      </w:pPr>
      <w:r>
        <w:rPr/>
        <w:t>Člen voleného orgánu společnosti by měl být odměňován jednak měsíčně (podle rozsahu a kvality prokazatelně odvedené práce) a jednak ročně (podle prokazatelných výsledků). Odměny by neměly výrazně přesahovat příjmy vedení hl. m. Prahy.</w:t>
      </w:r>
    </w:p>
    <w:p>
      <w:pPr>
        <w:pStyle w:val="Nadpis3"/>
        <w:numPr>
          <w:ilvl w:val="2"/>
          <w:numId w:val="1"/>
        </w:numPr>
        <w:rPr/>
      </w:pPr>
      <w:r>
        <w:rPr/>
        <w:t>Nominační komise</w:t>
      </w:r>
    </w:p>
    <w:p>
      <w:pPr>
        <w:pStyle w:val="Tlotextu"/>
        <w:numPr>
          <w:ilvl w:val="0"/>
          <w:numId w:val="8"/>
        </w:numPr>
        <w:rPr/>
      </w:pPr>
      <w:r>
        <w:rPr/>
        <w:t>Rad</w:t>
      </w:r>
      <w:r>
        <w:rPr/>
        <w:t>a</w:t>
      </w:r>
      <w:r>
        <w:rPr/>
        <w:t xml:space="preserve"> hl. m. Prahy </w:t>
      </w:r>
      <w:r>
        <w:rPr/>
        <w:t>zřizuje nominační komisi jako poradní orgán, který se vyjadřuje k nominacím zástupců hl. m. Prahy do funkcí, které volí valná hromada společnosti</w:t>
      </w:r>
      <w:r>
        <w:rPr/>
        <w:t xml:space="preserve">. </w:t>
      </w:r>
      <w:r>
        <w:rPr/>
        <w:t>Pokud se tato pravidla používají přiměřeně i na jiné funkce, může její úkoly plnit jiný orgán.</w:t>
      </w:r>
    </w:p>
    <w:p>
      <w:pPr>
        <w:pStyle w:val="Tlotextu"/>
        <w:numPr>
          <w:ilvl w:val="0"/>
          <w:numId w:val="8"/>
        </w:numPr>
        <w:rPr/>
      </w:pPr>
      <w:r>
        <w:rPr/>
        <w:t>Na složení nominační komise a odměňování jejích členů se přiměřeně použijí výše uvedená pravidla pro kontrolní orgán společnosti. Odborné členy komise jmenuje Rada hl. m. Prahy tak, aby nebylo pochyb o jejich kvalifikaci a nezávislosti na politické reprezentaci.</w:t>
      </w:r>
    </w:p>
    <w:p>
      <w:pPr>
        <w:pStyle w:val="Tlotextu"/>
        <w:numPr>
          <w:ilvl w:val="0"/>
          <w:numId w:val="8"/>
        </w:numPr>
        <w:rPr/>
      </w:pPr>
      <w:r>
        <w:rPr/>
        <w:t>Jednací řád nominační komise stanoví, kdo předkládá odborné nominace, a další podrobnosti k provedení tohoto usnesení. Na jednání nominační komise mají přístup všichni zastupitelé hl. m. Prahy.</w:t>
      </w:r>
    </w:p>
    <w:p>
      <w:pPr>
        <w:pStyle w:val="Tlotextu"/>
        <w:spacing w:before="0" w:after="140"/>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Poznmkapodarou"/>
        <w:rPr/>
      </w:pPr>
      <w:r>
        <w:rPr/>
        <w:footnoteRef/>
        <w:tab/>
        <w:t xml:space="preserve"> </w:t>
      </w:r>
      <w:r>
        <w:rPr/>
        <w:t>§ 13 zákona č. 269/1994 Sb., o Rejstříku trestů</w:t>
      </w:r>
    </w:p>
  </w:footnote>
  <w:footnote w:id="3">
    <w:p>
      <w:pPr>
        <w:pStyle w:val="Poznmkapodarou"/>
        <w:rPr/>
      </w:pPr>
      <w:r>
        <w:rPr/>
        <w:footnoteRef/>
        <w:tab/>
        <w:t xml:space="preserve"> </w:t>
      </w:r>
      <w:r>
        <w:rPr/>
        <w:t>§ 3 zákona č. 159/2006 Sb., o střetu zájmů</w:t>
      </w:r>
    </w:p>
  </w:footnote>
  <w:footnote w:id="4">
    <w:p>
      <w:pPr>
        <w:pStyle w:val="Poznmkapodarou"/>
        <w:rPr/>
      </w:pPr>
      <w:r>
        <w:rPr/>
        <w:footnoteRef/>
        <w:tab/>
        <w:t xml:space="preserve"> </w:t>
      </w:r>
      <w:r>
        <w:rPr/>
        <w:t>§ 68 odst. 2 písm. h) zákona č. 131/2000 Sb., o hlavním městě Praze</w:t>
      </w:r>
    </w:p>
  </w:footnote>
  <w:footnote w:id="5">
    <w:p>
      <w:pPr>
        <w:pStyle w:val="Poznmkapodarou"/>
        <w:rPr/>
      </w:pPr>
      <w:r>
        <w:rPr/>
        <w:footnoteRef/>
        <w:tab/>
        <w:t xml:space="preserve"> </w:t>
      </w:r>
      <w:r>
        <w:rPr/>
        <w:t>§ 59 odst. 2 písm. t) zákona č. 131/2000 Sb., o hlavním městě Praze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cs-CZ"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cs-CZ" w:eastAsia="zh-CN" w:bidi="hi-IN"/>
    </w:rPr>
  </w:style>
  <w:style w:type="paragraph" w:styleId="Nadpis1">
    <w:name w:val="Nadpis 1"/>
    <w:basedOn w:val="Nadpis"/>
    <w:pPr>
      <w:spacing w:before="240" w:after="120"/>
      <w:outlineLvl w:val="0"/>
    </w:pPr>
    <w:rPr>
      <w:b/>
      <w:bCs/>
      <w:sz w:val="36"/>
      <w:szCs w:val="36"/>
    </w:rPr>
  </w:style>
  <w:style w:type="paragraph" w:styleId="Nadpis2">
    <w:name w:val="Nadpis 2"/>
    <w:basedOn w:val="Nadpis"/>
    <w:pPr>
      <w:spacing w:before="200" w:after="120"/>
      <w:outlineLvl w:val="1"/>
    </w:pPr>
    <w:rPr>
      <w:b/>
      <w:bCs/>
      <w:sz w:val="32"/>
      <w:szCs w:val="32"/>
    </w:rPr>
  </w:style>
  <w:style w:type="paragraph" w:styleId="Nadpis3">
    <w:name w:val="Nadpis 3"/>
    <w:basedOn w:val="Nadpis"/>
    <w:pPr>
      <w:spacing w:before="140" w:after="120"/>
      <w:outlineLvl w:val="2"/>
    </w:pPr>
    <w:rPr>
      <w:b/>
      <w:bCs/>
      <w:color w:val="808080"/>
      <w:sz w:val="28"/>
      <w:szCs w:val="28"/>
    </w:rPr>
  </w:style>
  <w:style w:type="character" w:styleId="Odrky">
    <w:name w:val="Odrážky"/>
    <w:rPr>
      <w:rFonts w:ascii="OpenSymbol" w:hAnsi="OpenSymbol" w:eastAsia="OpenSymbol" w:cs="OpenSymbol"/>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poznmkupodarou">
    <w:name w:val="Znaky pro poznámku pod čarou"/>
    <w:rPr/>
  </w:style>
  <w:style w:type="character" w:styleId="Znakyprovysvtlivky">
    <w:name w:val="Znaky pro vysvětlivky"/>
    <w:rPr/>
  </w:style>
  <w:style w:type="paragraph" w:styleId="Nadpis">
    <w:name w:val="Nadpis"/>
    <w:basedOn w:val="Normal"/>
    <w:next w:val="Tlotextu"/>
    <w:pPr>
      <w:keepNext/>
      <w:spacing w:before="240" w:after="120"/>
    </w:pPr>
    <w:rPr>
      <w:rFonts w:ascii="Liberation Sans" w:hAnsi="Liberation Sans"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pPr>
      <w:suppressLineNumbers/>
    </w:pPr>
    <w:rPr>
      <w:rFonts w:cs="FreeSans"/>
    </w:rPr>
  </w:style>
  <w:style w:type="paragraph" w:styleId="Citace">
    <w:name w:val="Citace"/>
    <w:basedOn w:val="Normal"/>
    <w:pPr>
      <w:spacing w:before="0" w:after="283"/>
      <w:ind w:left="567" w:right="567" w:hanging="0"/>
    </w:pPr>
    <w:rPr/>
  </w:style>
  <w:style w:type="paragraph" w:styleId="Nzev">
    <w:name w:val="Název"/>
    <w:basedOn w:val="Nadpis"/>
    <w:pPr>
      <w:jc w:val="center"/>
    </w:pPr>
    <w:rPr>
      <w:b/>
      <w:bCs/>
      <w:sz w:val="56"/>
      <w:szCs w:val="56"/>
    </w:rPr>
  </w:style>
  <w:style w:type="paragraph" w:styleId="Podtitul">
    <w:name w:val="Podtitul"/>
    <w:basedOn w:val="Nadpis"/>
    <w:pPr>
      <w:spacing w:before="60" w:after="120"/>
      <w:jc w:val="center"/>
    </w:pPr>
    <w:rPr>
      <w:sz w:val="36"/>
      <w:szCs w:val="36"/>
    </w:rPr>
  </w:style>
  <w:style w:type="paragraph" w:styleId="Poznmkapodarou">
    <w:name w:val="Poznámka pod čarou"/>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2015-10-23T18:42:06Z</dcterms:created>
  <dc:language>cs-CZ</dc:language>
  <dcterms:modified xsi:type="dcterms:W3CDTF">2015-10-26T14:51:02Z</dcterms:modified>
  <cp:revision>6</cp:revision>
</cp:coreProperties>
</file>