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161" w:rsidRDefault="006F3BED" w:rsidP="00542161">
      <w:pPr>
        <w:ind w:left="9912"/>
      </w:pPr>
      <w:r>
        <w:t>Vážený pan</w:t>
      </w:r>
      <w:r>
        <w:br/>
        <w:t>JUDr. Ing. Miroslav Ludvík, MBA</w:t>
      </w:r>
      <w:r>
        <w:br/>
      </w:r>
      <w:r w:rsidR="00542161">
        <w:t>p</w:t>
      </w:r>
      <w:r>
        <w:t>ředseda finančního výboru</w:t>
      </w:r>
      <w:r w:rsidR="00542161">
        <w:br/>
        <w:t>Zastupitelstva hl. m. Prahy</w:t>
      </w:r>
    </w:p>
    <w:p w:rsidR="00542161" w:rsidRDefault="00542161" w:rsidP="006653F3">
      <w:pPr>
        <w:ind w:left="9912"/>
      </w:pPr>
    </w:p>
    <w:p w:rsidR="00542161" w:rsidRDefault="00542161" w:rsidP="006653F3">
      <w:pPr>
        <w:ind w:left="9912"/>
      </w:pPr>
      <w:r>
        <w:t>Jednání finančního výboru dne 16. 2. 2015</w:t>
      </w:r>
    </w:p>
    <w:p w:rsidR="006F3BED" w:rsidRDefault="006F3BED"/>
    <w:p w:rsidR="006F3BED" w:rsidRPr="006F3BED" w:rsidRDefault="006F3BED">
      <w:pPr>
        <w:rPr>
          <w:b/>
          <w:u w:val="single"/>
        </w:rPr>
      </w:pPr>
      <w:r w:rsidRPr="006F3BED">
        <w:rPr>
          <w:b/>
          <w:u w:val="single"/>
        </w:rPr>
        <w:t>Pozměňovací návrh</w:t>
      </w:r>
      <w:r>
        <w:rPr>
          <w:b/>
          <w:u w:val="single"/>
        </w:rPr>
        <w:t>y</w:t>
      </w:r>
      <w:r w:rsidRPr="006F3BED">
        <w:rPr>
          <w:b/>
          <w:u w:val="single"/>
        </w:rPr>
        <w:t xml:space="preserve"> k návrhu rozpočtu hl. m. Prahy na rok 2015</w:t>
      </w:r>
    </w:p>
    <w:p w:rsidR="00573B4A" w:rsidRDefault="006F3BED">
      <w:r w:rsidRPr="006F3BED">
        <w:rPr>
          <w:b/>
        </w:rPr>
        <w:t>Navrhovatel</w:t>
      </w:r>
      <w:r>
        <w:t>:</w:t>
      </w:r>
      <w:r>
        <w:tab/>
        <w:t xml:space="preserve">Viktor </w:t>
      </w:r>
      <w:proofErr w:type="spellStart"/>
      <w:r>
        <w:t>Mahrik</w:t>
      </w:r>
      <w:proofErr w:type="spellEnd"/>
      <w:r>
        <w:t>, člen finančního výboru</w:t>
      </w:r>
      <w:r w:rsidR="001B3F86">
        <w:t xml:space="preserve"> (zástupce České pirátské strany)</w:t>
      </w:r>
    </w:p>
    <w:p w:rsidR="006F3BED" w:rsidRDefault="006F3BED" w:rsidP="006F3BED">
      <w:pPr>
        <w:ind w:left="1410" w:hanging="1410"/>
      </w:pPr>
      <w:r w:rsidRPr="006F3BED">
        <w:rPr>
          <w:b/>
        </w:rPr>
        <w:t>Dotčený tisk</w:t>
      </w:r>
      <w:r>
        <w:t>:</w:t>
      </w:r>
      <w:r>
        <w:tab/>
        <w:t>R-16609 k návrhu rozpočtu vlastního hlavního města Prahy na rok 2</w:t>
      </w:r>
      <w:bookmarkStart w:id="0" w:name="_GoBack"/>
      <w:bookmarkEnd w:id="0"/>
      <w:r>
        <w:t>015, finančních vztahů k městským částem hlavního města Prahy na rok 2015 a rozpočtového výhledu do roku 2020</w:t>
      </w:r>
    </w:p>
    <w:p w:rsidR="00542161" w:rsidRDefault="006F3BED" w:rsidP="006F3BED">
      <w:r w:rsidRPr="006F3BED">
        <w:t>Pozměňovací návrhy jsou uvedeny v následující tabulce a jsou předkládány každý k samostatnému posouzení</w:t>
      </w:r>
      <w:r w:rsidR="00542161">
        <w:t xml:space="preserve"> a hlasování finančním výborem</w:t>
      </w:r>
      <w:r>
        <w:t>.</w:t>
      </w:r>
    </w:p>
    <w:p w:rsidR="00542161" w:rsidRDefault="00542161">
      <w:r>
        <w:br w:type="page"/>
      </w:r>
    </w:p>
    <w:tbl>
      <w:tblPr>
        <w:tblStyle w:val="Svtlstnovn"/>
        <w:tblW w:w="14283" w:type="dxa"/>
        <w:tblLook w:val="04A0" w:firstRow="1" w:lastRow="0" w:firstColumn="1" w:lastColumn="0" w:noHBand="0" w:noVBand="1"/>
      </w:tblPr>
      <w:tblGrid>
        <w:gridCol w:w="392"/>
        <w:gridCol w:w="2268"/>
        <w:gridCol w:w="1843"/>
        <w:gridCol w:w="2409"/>
        <w:gridCol w:w="7371"/>
      </w:tblGrid>
      <w:tr w:rsidR="006653F3" w:rsidTr="00665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6653F3" w:rsidRDefault="006653F3" w:rsidP="006F3BED">
            <w:r>
              <w:lastRenderedPageBreak/>
              <w:t>Č.</w:t>
            </w:r>
          </w:p>
        </w:tc>
        <w:tc>
          <w:tcPr>
            <w:tcW w:w="2268" w:type="dxa"/>
          </w:tcPr>
          <w:p w:rsidR="006653F3" w:rsidRDefault="006653F3" w:rsidP="006F3BED">
            <w:pPr>
              <w:cnfStyle w:val="100000000000" w:firstRow="1" w:lastRow="0" w:firstColumn="0" w:lastColumn="0" w:oddVBand="0" w:evenVBand="0" w:oddHBand="0" w:evenHBand="0" w:firstRowFirstColumn="0" w:firstRowLastColumn="0" w:lastRowFirstColumn="0" w:lastRowLastColumn="0"/>
            </w:pPr>
            <w:r>
              <w:t>Ponížená položka</w:t>
            </w:r>
          </w:p>
        </w:tc>
        <w:tc>
          <w:tcPr>
            <w:tcW w:w="1843" w:type="dxa"/>
          </w:tcPr>
          <w:p w:rsidR="006653F3" w:rsidRDefault="006653F3" w:rsidP="001B3F86">
            <w:pPr>
              <w:cnfStyle w:val="100000000000" w:firstRow="1" w:lastRow="0" w:firstColumn="0" w:lastColumn="0" w:oddVBand="0" w:evenVBand="0" w:oddHBand="0" w:evenHBand="0" w:firstRowFirstColumn="0" w:firstRowLastColumn="0" w:lastRowFirstColumn="0" w:lastRowLastColumn="0"/>
            </w:pPr>
            <w:r>
              <w:t>Přesunutá částka</w:t>
            </w:r>
          </w:p>
        </w:tc>
        <w:tc>
          <w:tcPr>
            <w:tcW w:w="2409" w:type="dxa"/>
          </w:tcPr>
          <w:p w:rsidR="006653F3" w:rsidRDefault="006653F3" w:rsidP="006F3BED">
            <w:pPr>
              <w:cnfStyle w:val="100000000000" w:firstRow="1" w:lastRow="0" w:firstColumn="0" w:lastColumn="0" w:oddVBand="0" w:evenVBand="0" w:oddHBand="0" w:evenHBand="0" w:firstRowFirstColumn="0" w:firstRowLastColumn="0" w:lastRowFirstColumn="0" w:lastRowLastColumn="0"/>
            </w:pPr>
            <w:r>
              <w:t>Povýšená položka</w:t>
            </w:r>
          </w:p>
        </w:tc>
        <w:tc>
          <w:tcPr>
            <w:tcW w:w="7371" w:type="dxa"/>
          </w:tcPr>
          <w:p w:rsidR="006653F3" w:rsidRDefault="006653F3" w:rsidP="006F3BED">
            <w:pPr>
              <w:cnfStyle w:val="100000000000" w:firstRow="1" w:lastRow="0" w:firstColumn="0" w:lastColumn="0" w:oddVBand="0" w:evenVBand="0" w:oddHBand="0" w:evenHBand="0" w:firstRowFirstColumn="0" w:firstRowLastColumn="0" w:lastRowFirstColumn="0" w:lastRowLastColumn="0"/>
            </w:pPr>
            <w:r>
              <w:t>Odůvodnění</w:t>
            </w:r>
          </w:p>
        </w:tc>
      </w:tr>
      <w:tr w:rsidR="006653F3" w:rsidTr="00665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6653F3" w:rsidRPr="006653F3" w:rsidRDefault="006653F3" w:rsidP="006653F3">
            <w:pPr>
              <w:rPr>
                <w:b w:val="0"/>
              </w:rPr>
            </w:pPr>
            <w:r>
              <w:rPr>
                <w:b w:val="0"/>
              </w:rPr>
              <w:t>1</w:t>
            </w:r>
            <w:r w:rsidR="00C51B32">
              <w:rPr>
                <w:b w:val="0"/>
              </w:rPr>
              <w:t>.</w:t>
            </w:r>
          </w:p>
        </w:tc>
        <w:tc>
          <w:tcPr>
            <w:tcW w:w="2268" w:type="dxa"/>
          </w:tcPr>
          <w:p w:rsidR="00C51B32" w:rsidRPr="00C51B32" w:rsidRDefault="00C51B32" w:rsidP="006653F3">
            <w:pPr>
              <w:cnfStyle w:val="000000100000" w:firstRow="0" w:lastRow="0" w:firstColumn="0" w:lastColumn="0" w:oddVBand="0" w:evenVBand="0" w:oddHBand="1" w:evenHBand="0" w:firstRowFirstColumn="0" w:firstRowLastColumn="0" w:lastRowFirstColumn="0" w:lastRowLastColumn="0"/>
              <w:rPr>
                <w:b/>
              </w:rPr>
            </w:pPr>
            <w:r w:rsidRPr="00C51B32">
              <w:rPr>
                <w:b/>
              </w:rPr>
              <w:t>„Granty na sport“</w:t>
            </w:r>
          </w:p>
          <w:p w:rsidR="006653F3" w:rsidRPr="006653F3" w:rsidRDefault="006653F3" w:rsidP="006653F3">
            <w:pPr>
              <w:cnfStyle w:val="000000100000" w:firstRow="0" w:lastRow="0" w:firstColumn="0" w:lastColumn="0" w:oddVBand="0" w:evenVBand="0" w:oddHBand="1" w:evenHBand="0" w:firstRowFirstColumn="0" w:firstRowLastColumn="0" w:lastRowFirstColumn="0" w:lastRowLastColumn="0"/>
            </w:pPr>
            <w:r w:rsidRPr="006653F3">
              <w:t>Běžné výdaje</w:t>
            </w:r>
            <w:r>
              <w:t>, kap. 04</w:t>
            </w:r>
            <w:r w:rsidRPr="006653F3">
              <w:br/>
              <w:t>ODPA 003419</w:t>
            </w:r>
            <w:r w:rsidRPr="006653F3">
              <w:br/>
              <w:t xml:space="preserve">Ostatní </w:t>
            </w:r>
            <w:proofErr w:type="gramStart"/>
            <w:r w:rsidRPr="006653F3">
              <w:t>tělovýchovná  činnost</w:t>
            </w:r>
            <w:proofErr w:type="gramEnd"/>
            <w:r w:rsidR="001B3F86">
              <w:t>, MHMP - SMS</w:t>
            </w:r>
          </w:p>
        </w:tc>
        <w:tc>
          <w:tcPr>
            <w:tcW w:w="1843" w:type="dxa"/>
          </w:tcPr>
          <w:p w:rsidR="006653F3" w:rsidRDefault="006653F3" w:rsidP="001B3F86">
            <w:pPr>
              <w:jc w:val="right"/>
              <w:cnfStyle w:val="000000100000" w:firstRow="0" w:lastRow="0" w:firstColumn="0" w:lastColumn="0" w:oddVBand="0" w:evenVBand="0" w:oddHBand="1" w:evenHBand="0" w:firstRowFirstColumn="0" w:firstRowLastColumn="0" w:lastRowFirstColumn="0" w:lastRowLastColumn="0"/>
            </w:pPr>
            <w:r>
              <w:t>40 mil. Kč</w:t>
            </w:r>
          </w:p>
        </w:tc>
        <w:tc>
          <w:tcPr>
            <w:tcW w:w="2409" w:type="dxa"/>
          </w:tcPr>
          <w:p w:rsidR="006653F3" w:rsidRDefault="006653F3" w:rsidP="006653F3">
            <w:pPr>
              <w:cnfStyle w:val="000000100000" w:firstRow="0" w:lastRow="0" w:firstColumn="0" w:lastColumn="0" w:oddVBand="0" w:evenVBand="0" w:oddHBand="1" w:evenHBand="0" w:firstRowFirstColumn="0" w:firstRowLastColumn="0" w:lastRowFirstColumn="0" w:lastRowLastColumn="0"/>
            </w:pPr>
            <w:r>
              <w:t>Započíst na saldo</w:t>
            </w:r>
          </w:p>
          <w:p w:rsidR="0059637D" w:rsidRDefault="006653F3" w:rsidP="006653F3">
            <w:pPr>
              <w:cnfStyle w:val="000000100000" w:firstRow="0" w:lastRow="0" w:firstColumn="0" w:lastColumn="0" w:oddVBand="0" w:evenVBand="0" w:oddHBand="1" w:evenHBand="0" w:firstRowFirstColumn="0" w:firstRowLastColumn="0" w:lastRowFirstColumn="0" w:lastRowLastColumn="0"/>
            </w:pPr>
            <w:r>
              <w:t>Snížit financování změnou na bankovních účtech</w:t>
            </w:r>
            <w:r w:rsidR="0059637D">
              <w:t xml:space="preserve"> *)</w:t>
            </w:r>
          </w:p>
        </w:tc>
        <w:tc>
          <w:tcPr>
            <w:tcW w:w="7371" w:type="dxa"/>
          </w:tcPr>
          <w:p w:rsidR="006653F3" w:rsidRDefault="006653F3" w:rsidP="0059637D">
            <w:pPr>
              <w:cnfStyle w:val="000000100000" w:firstRow="0" w:lastRow="0" w:firstColumn="0" w:lastColumn="0" w:oddVBand="0" w:evenVBand="0" w:oddHBand="1" w:evenHBand="0" w:firstRowFirstColumn="0" w:firstRowLastColumn="0" w:lastRowFirstColumn="0" w:lastRowLastColumn="0"/>
            </w:pPr>
            <w:r>
              <w:t xml:space="preserve">Návrh počítá s navýšením grantů na sport na částku 328 mil. Kč, což je značný meziroční nárůst z 280 mil. Kč v předchozím roce. Zvýšení grantů považujeme za jednak problematické samo o sobě a jednak ve vztahu ke složení výběrové komise. </w:t>
            </w:r>
            <w:r w:rsidR="0059637D">
              <w:t xml:space="preserve">Není prokázáno, že zvýšení grantů zejména na sportovní stadiony apod. by vedlo k širšímu zapojení obyvatel do sportu. </w:t>
            </w:r>
            <w:r>
              <w:t xml:space="preserve">Rozdělení grantů má </w:t>
            </w:r>
            <w:r w:rsidR="0059637D">
              <w:t xml:space="preserve">dále </w:t>
            </w:r>
            <w:r>
              <w:t xml:space="preserve">navrhovat dle návrhu komise obsazená politiky, vedená Ing. Karlem Březinou. Vzhledem k pravomocnému odsouzení za podvod to nepovažujeme za vhodné. V komisi má být bez jasného zdůvodnění také starostka Prahy 10 Radmila </w:t>
            </w:r>
            <w:proofErr w:type="spellStart"/>
            <w:r>
              <w:t>Kleslová</w:t>
            </w:r>
            <w:proofErr w:type="spellEnd"/>
            <w:r>
              <w:t xml:space="preserve">. Rozhodně nesouhlasíme se složením komise a nepovažujeme tento rozdělovací postup za záruku hospodárného užití peněž.  </w:t>
            </w:r>
            <w:r w:rsidR="00C51B32">
              <w:t>Navrhujeme snížení rozpočtu na úroveň schváleného rozpočtu v roce 2014.</w:t>
            </w:r>
          </w:p>
        </w:tc>
      </w:tr>
      <w:tr w:rsidR="001B3F86" w:rsidTr="006653F3">
        <w:tc>
          <w:tcPr>
            <w:cnfStyle w:val="001000000000" w:firstRow="0" w:lastRow="0" w:firstColumn="1" w:lastColumn="0" w:oddVBand="0" w:evenVBand="0" w:oddHBand="0" w:evenHBand="0" w:firstRowFirstColumn="0" w:firstRowLastColumn="0" w:lastRowFirstColumn="0" w:lastRowLastColumn="0"/>
            <w:tcW w:w="392" w:type="dxa"/>
          </w:tcPr>
          <w:p w:rsidR="001B3F86" w:rsidRDefault="001B3F86" w:rsidP="006F3BED">
            <w:r>
              <w:t>2</w:t>
            </w:r>
            <w:r w:rsidR="00C51B32">
              <w:t>.</w:t>
            </w:r>
          </w:p>
        </w:tc>
        <w:tc>
          <w:tcPr>
            <w:tcW w:w="2268" w:type="dxa"/>
          </w:tcPr>
          <w:p w:rsidR="00C51B32" w:rsidRPr="00C51B32" w:rsidRDefault="00C51B32" w:rsidP="001B3F86">
            <w:pPr>
              <w:cnfStyle w:val="000000000000" w:firstRow="0" w:lastRow="0" w:firstColumn="0" w:lastColumn="0" w:oddVBand="0" w:evenVBand="0" w:oddHBand="0" w:evenHBand="0" w:firstRowFirstColumn="0" w:firstRowLastColumn="0" w:lastRowFirstColumn="0" w:lastRowLastColumn="0"/>
              <w:rPr>
                <w:b/>
              </w:rPr>
            </w:pPr>
            <w:r w:rsidRPr="00C51B32">
              <w:rPr>
                <w:b/>
              </w:rPr>
              <w:t>„Památkové dotace pro církve“</w:t>
            </w:r>
          </w:p>
          <w:p w:rsidR="001B3F86" w:rsidRPr="006653F3" w:rsidRDefault="001B3F86" w:rsidP="001B3F86">
            <w:pPr>
              <w:cnfStyle w:val="000000000000" w:firstRow="0" w:lastRow="0" w:firstColumn="0" w:lastColumn="0" w:oddVBand="0" w:evenVBand="0" w:oddHBand="0" w:evenHBand="0" w:firstRowFirstColumn="0" w:firstRowLastColumn="0" w:lastRowFirstColumn="0" w:lastRowLastColumn="0"/>
            </w:pPr>
            <w:r w:rsidRPr="006653F3">
              <w:t>Běžné výdaje</w:t>
            </w:r>
            <w:r>
              <w:t>, kap. 06</w:t>
            </w:r>
            <w:r w:rsidRPr="006653F3">
              <w:br/>
              <w:t xml:space="preserve">ODPA </w:t>
            </w:r>
            <w:r>
              <w:rPr>
                <w:rStyle w:val="author-a-vz89zvz78zz65zz74zz66zz89znvz76z5xfz90zz82z"/>
              </w:rPr>
              <w:t>003322</w:t>
            </w:r>
            <w:r>
              <w:rPr>
                <w:rStyle w:val="author-a-vz89zvz78zz65zz74zz66zz89znvz76z5xfz90zz82z"/>
              </w:rPr>
              <w:t>,</w:t>
            </w:r>
            <w:r w:rsidRPr="006653F3">
              <w:br/>
            </w:r>
            <w:r>
              <w:rPr>
                <w:rStyle w:val="author-a-vz89zvz78zz65zz74zz66zz89znvz76z5xfz90zz82z"/>
              </w:rPr>
              <w:t>Z</w:t>
            </w:r>
            <w:r>
              <w:rPr>
                <w:rStyle w:val="author-a-vz89zvz78zz65zz74zz66zz89znvz76z5xfz90zz82z"/>
              </w:rPr>
              <w:t>achování a obnova kulturních památek, MHMP - OPP</w:t>
            </w:r>
          </w:p>
        </w:tc>
        <w:tc>
          <w:tcPr>
            <w:tcW w:w="1843" w:type="dxa"/>
          </w:tcPr>
          <w:p w:rsidR="001B3F86" w:rsidRDefault="001B3F86" w:rsidP="001B3F86">
            <w:pPr>
              <w:jc w:val="right"/>
              <w:cnfStyle w:val="000000000000" w:firstRow="0" w:lastRow="0" w:firstColumn="0" w:lastColumn="0" w:oddVBand="0" w:evenVBand="0" w:oddHBand="0" w:evenHBand="0" w:firstRowFirstColumn="0" w:firstRowLastColumn="0" w:lastRowFirstColumn="0" w:lastRowLastColumn="0"/>
            </w:pPr>
            <w:r>
              <w:t>5 mil. Kč</w:t>
            </w:r>
          </w:p>
        </w:tc>
        <w:tc>
          <w:tcPr>
            <w:tcW w:w="2409" w:type="dxa"/>
          </w:tcPr>
          <w:p w:rsidR="001B3F86" w:rsidRDefault="001B3F86" w:rsidP="001B3F86">
            <w:pPr>
              <w:cnfStyle w:val="000000000000" w:firstRow="0" w:lastRow="0" w:firstColumn="0" w:lastColumn="0" w:oddVBand="0" w:evenVBand="0" w:oddHBand="0" w:evenHBand="0" w:firstRowFirstColumn="0" w:firstRowLastColumn="0" w:lastRowFirstColumn="0" w:lastRowLastColumn="0"/>
            </w:pPr>
            <w:r>
              <w:t>Započíst na saldo</w:t>
            </w:r>
          </w:p>
          <w:p w:rsidR="001B3F86" w:rsidRDefault="001B3F86" w:rsidP="001B3F86">
            <w:pPr>
              <w:cnfStyle w:val="000000000000" w:firstRow="0" w:lastRow="0" w:firstColumn="0" w:lastColumn="0" w:oddVBand="0" w:evenVBand="0" w:oddHBand="0" w:evenHBand="0" w:firstRowFirstColumn="0" w:firstRowLastColumn="0" w:lastRowFirstColumn="0" w:lastRowLastColumn="0"/>
            </w:pPr>
            <w:r>
              <w:t>Snížit financování změnou na bankovních účtech *)</w:t>
            </w:r>
          </w:p>
        </w:tc>
        <w:tc>
          <w:tcPr>
            <w:tcW w:w="7371" w:type="dxa"/>
          </w:tcPr>
          <w:p w:rsidR="001B3F86" w:rsidRDefault="001B3F86" w:rsidP="00C51B32">
            <w:pPr>
              <w:cnfStyle w:val="000000000000" w:firstRow="0" w:lastRow="0" w:firstColumn="0" w:lastColumn="0" w:oddVBand="0" w:evenVBand="0" w:oddHBand="0" w:evenHBand="0" w:firstRowFirstColumn="0" w:firstRowLastColumn="0" w:lastRowFirstColumn="0" w:lastRowLastColumn="0"/>
            </w:pPr>
            <w:r>
              <w:t xml:space="preserve">Návrh počítá s navýšením dotací na granty pro vlastníky kulturních památek, přičemž zdůrazňuje, že část těchto vlastníků tvoří církve. Církve by tedy měly být </w:t>
            </w:r>
            <w:r w:rsidR="00C51B32">
              <w:t xml:space="preserve">podle návrhu </w:t>
            </w:r>
            <w:r>
              <w:t xml:space="preserve">mezi příjemci </w:t>
            </w:r>
            <w:r w:rsidR="00C51B32">
              <w:t>dotací, kvůli nimž by měl být rozpočet navýšen. V</w:t>
            </w:r>
            <w:r>
              <w:t>zhledem k</w:t>
            </w:r>
            <w:r w:rsidR="00C51B32">
              <w:t> tomu, že církve od roku 2012 dostávají značné prostředky z tzv. církevních restitucí, považujeme za nadbytečné, aby dále čerpaly granty z rozpočtu hl. m. Prahy. Potřebné rekonstrukce by měly provést z vlastních prostředků. Není třeba navyšovat v daném výdaji rozpočet hl. m. Prahy. Navrhujeme snížení rozpočtu na úroveň schváleného rozpočtu v roce 2014.</w:t>
            </w:r>
          </w:p>
        </w:tc>
      </w:tr>
      <w:tr w:rsidR="00C51B32" w:rsidTr="00665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51B32" w:rsidRDefault="00C51B32" w:rsidP="006F3BED">
            <w:r>
              <w:t>3.</w:t>
            </w:r>
          </w:p>
        </w:tc>
        <w:tc>
          <w:tcPr>
            <w:tcW w:w="2268" w:type="dxa"/>
          </w:tcPr>
          <w:p w:rsidR="00C51B32" w:rsidRPr="00C51B32" w:rsidRDefault="00C51B32" w:rsidP="00C438E5">
            <w:pPr>
              <w:cnfStyle w:val="000000100000" w:firstRow="0" w:lastRow="0" w:firstColumn="0" w:lastColumn="0" w:oddVBand="0" w:evenVBand="0" w:oddHBand="1" w:evenHBand="0" w:firstRowFirstColumn="0" w:firstRowLastColumn="0" w:lastRowFirstColumn="0" w:lastRowLastColumn="0"/>
              <w:rPr>
                <w:b/>
              </w:rPr>
            </w:pPr>
            <w:r w:rsidRPr="00C51B32">
              <w:rPr>
                <w:b/>
              </w:rPr>
              <w:t>„</w:t>
            </w:r>
            <w:r>
              <w:rPr>
                <w:b/>
              </w:rPr>
              <w:t>Výdaje na kongresovou turistiku</w:t>
            </w:r>
            <w:r w:rsidRPr="00C51B32">
              <w:rPr>
                <w:b/>
              </w:rPr>
              <w:t>“</w:t>
            </w:r>
          </w:p>
          <w:p w:rsidR="00C51B32" w:rsidRPr="006653F3" w:rsidRDefault="00C51B32" w:rsidP="00C51B32">
            <w:pPr>
              <w:cnfStyle w:val="000000100000" w:firstRow="0" w:lastRow="0" w:firstColumn="0" w:lastColumn="0" w:oddVBand="0" w:evenVBand="0" w:oddHBand="1" w:evenHBand="0" w:firstRowFirstColumn="0" w:firstRowLastColumn="0" w:lastRowFirstColumn="0" w:lastRowLastColumn="0"/>
            </w:pPr>
            <w:r w:rsidRPr="006653F3">
              <w:t>Běžné výdaje</w:t>
            </w:r>
            <w:r>
              <w:t>, kap. 06</w:t>
            </w:r>
            <w:r w:rsidRPr="006653F3">
              <w:br/>
              <w:t xml:space="preserve">ODPA </w:t>
            </w:r>
            <w:r>
              <w:rPr>
                <w:rStyle w:val="author-a-vz89zvz78zz65zz74zz66zz89znvz76z5xfz90zz82z"/>
              </w:rPr>
              <w:t>00</w:t>
            </w:r>
            <w:r>
              <w:rPr>
                <w:rStyle w:val="author-a-vz89zvz78zz65zz74zz66zz89znvz76z5xfz90zz82z"/>
              </w:rPr>
              <w:t>2143,</w:t>
            </w:r>
            <w:r w:rsidRPr="006653F3">
              <w:br/>
            </w:r>
            <w:r>
              <w:rPr>
                <w:rStyle w:val="author-a-vz89zvz78zz65zz74zz66zz89znvz76z5xfz90zz82z"/>
              </w:rPr>
              <w:t>Cestovní ruch</w:t>
            </w:r>
            <w:r>
              <w:rPr>
                <w:rStyle w:val="author-a-vz89zvz78zz65zz74zz66zz89znvz76z5xfz90zz82z"/>
              </w:rPr>
              <w:t xml:space="preserve">, MHMP - </w:t>
            </w:r>
            <w:r>
              <w:rPr>
                <w:rStyle w:val="author-a-vz89zvz78zz65zz74zz66zz89znvz76z5xfz90zz82z"/>
              </w:rPr>
              <w:t>OZV</w:t>
            </w:r>
          </w:p>
        </w:tc>
        <w:tc>
          <w:tcPr>
            <w:tcW w:w="1843" w:type="dxa"/>
          </w:tcPr>
          <w:p w:rsidR="00C51B32" w:rsidRDefault="00C51B32" w:rsidP="00C438E5">
            <w:pPr>
              <w:jc w:val="right"/>
              <w:cnfStyle w:val="000000100000" w:firstRow="0" w:lastRow="0" w:firstColumn="0" w:lastColumn="0" w:oddVBand="0" w:evenVBand="0" w:oddHBand="1" w:evenHBand="0" w:firstRowFirstColumn="0" w:firstRowLastColumn="0" w:lastRowFirstColumn="0" w:lastRowLastColumn="0"/>
            </w:pPr>
            <w:r>
              <w:t>12 mil. Kč</w:t>
            </w:r>
          </w:p>
        </w:tc>
        <w:tc>
          <w:tcPr>
            <w:tcW w:w="2409" w:type="dxa"/>
          </w:tcPr>
          <w:p w:rsidR="00C51B32" w:rsidRDefault="00C51B32" w:rsidP="00C438E5">
            <w:pPr>
              <w:cnfStyle w:val="000000100000" w:firstRow="0" w:lastRow="0" w:firstColumn="0" w:lastColumn="0" w:oddVBand="0" w:evenVBand="0" w:oddHBand="1" w:evenHBand="0" w:firstRowFirstColumn="0" w:firstRowLastColumn="0" w:lastRowFirstColumn="0" w:lastRowLastColumn="0"/>
            </w:pPr>
            <w:r>
              <w:t>Započíst na saldo</w:t>
            </w:r>
          </w:p>
          <w:p w:rsidR="00C51B32" w:rsidRDefault="00C51B32" w:rsidP="00C438E5">
            <w:pPr>
              <w:cnfStyle w:val="000000100000" w:firstRow="0" w:lastRow="0" w:firstColumn="0" w:lastColumn="0" w:oddVBand="0" w:evenVBand="0" w:oddHBand="1" w:evenHBand="0" w:firstRowFirstColumn="0" w:firstRowLastColumn="0" w:lastRowFirstColumn="0" w:lastRowLastColumn="0"/>
            </w:pPr>
            <w:r>
              <w:t>Snížit financování změnou na bankovních účtech *)</w:t>
            </w:r>
          </w:p>
        </w:tc>
        <w:tc>
          <w:tcPr>
            <w:tcW w:w="7371" w:type="dxa"/>
          </w:tcPr>
          <w:p w:rsidR="00C51B32" w:rsidRDefault="00E5723E" w:rsidP="00E5723E">
            <w:pPr>
              <w:cnfStyle w:val="000000100000" w:firstRow="0" w:lastRow="0" w:firstColumn="0" w:lastColumn="0" w:oddVBand="0" w:evenVBand="0" w:oddHBand="1" w:evenHBand="0" w:firstRowFirstColumn="0" w:firstRowLastColumn="0" w:lastRowFirstColumn="0" w:lastRowLastColumn="0"/>
            </w:pPr>
            <w:r>
              <w:rPr>
                <w:rStyle w:val="author-a-vz89zvz78zz65zz74zz66zz89znvz76z5xfz90zz82z"/>
              </w:rPr>
              <w:t>Návrh rozpočtu počítá ohledně</w:t>
            </w:r>
            <w:r>
              <w:rPr>
                <w:rStyle w:val="author-a-vz89zvz78zz65zz74zz66zz89znvz76z5xfz90zz82z"/>
              </w:rPr>
              <w:t xml:space="preserve"> grant</w:t>
            </w:r>
            <w:r>
              <w:rPr>
                <w:rStyle w:val="author-a-vz89zvz78zz65zz74zz66zz89znvz76z5xfz90zz82z"/>
              </w:rPr>
              <w:t>ů</w:t>
            </w:r>
            <w:r>
              <w:rPr>
                <w:rStyle w:val="author-a-vz89zvz78zz65zz74zz66zz89znvz76z5xfz90zz82z"/>
              </w:rPr>
              <w:t xml:space="preserve"> a partnerství </w:t>
            </w:r>
            <w:r>
              <w:rPr>
                <w:rStyle w:val="author-a-vz89zvz78zz65zz74zz66zz89znvz76z5xfz90zz82z"/>
              </w:rPr>
              <w:t xml:space="preserve">v cestovním ruchu s navýšením </w:t>
            </w:r>
            <w:r>
              <w:rPr>
                <w:rStyle w:val="author-a-vz89zvz78zz65zz74zz66zz89znvz76z5xfz90zz82z"/>
              </w:rPr>
              <w:t>o</w:t>
            </w:r>
            <w:r>
              <w:rPr>
                <w:rStyle w:val="author-a-vz89zvz78zz65zz74zz66zz89znvz76z5xfz90zz82z"/>
              </w:rPr>
              <w:t> </w:t>
            </w:r>
            <w:r>
              <w:rPr>
                <w:rStyle w:val="author-a-vz89zvz78zz65zz74zz66zz89znvz76z5xfz90zz82z"/>
              </w:rPr>
              <w:t>12 mil.</w:t>
            </w:r>
            <w:r>
              <w:rPr>
                <w:rStyle w:val="author-a-vz89zvz78zz65zz74zz66zz89znvz76z5xfz90zz82z"/>
              </w:rPr>
              <w:t xml:space="preserve"> Kč v porovnání se stavem v roce 2014, přestože popis k dané věci byl zkrácen o dotace na tzv. kongresovou turistiku. Má být placeno méně služeb, a tedy měl by se i snížit daný obnos. Není žádný důvod navyšovat granty v cestovním ruchu, které nepřináší prokazatelný přínos pro hl. m. Prahy.</w:t>
            </w:r>
            <w:r>
              <w:rPr>
                <w:rStyle w:val="author-a-vz89zvz78zz65zz74zz66zz89znvz76z5xfz90zz82z"/>
              </w:rPr>
              <w:t xml:space="preserve"> </w:t>
            </w:r>
            <w:r>
              <w:t>Navrhujeme snížení rozpočtu na úroveň schváleného rozpočtu v roce 2014</w:t>
            </w:r>
            <w:r>
              <w:t>, a to zejména i vzhledem k vypuštění dotací na kongresovou turistiku, která je velmi problematicky ospravedlnitelná vzhledem k výši dluhu hl. m. Prahy</w:t>
            </w:r>
            <w:r>
              <w:t>.</w:t>
            </w:r>
          </w:p>
        </w:tc>
      </w:tr>
      <w:tr w:rsidR="00E5723E" w:rsidTr="006653F3">
        <w:tc>
          <w:tcPr>
            <w:cnfStyle w:val="001000000000" w:firstRow="0" w:lastRow="0" w:firstColumn="1" w:lastColumn="0" w:oddVBand="0" w:evenVBand="0" w:oddHBand="0" w:evenHBand="0" w:firstRowFirstColumn="0" w:firstRowLastColumn="0" w:lastRowFirstColumn="0" w:lastRowLastColumn="0"/>
            <w:tcW w:w="392" w:type="dxa"/>
          </w:tcPr>
          <w:p w:rsidR="00E5723E" w:rsidRDefault="00E5723E" w:rsidP="006F3BED">
            <w:r>
              <w:t>4.</w:t>
            </w:r>
          </w:p>
        </w:tc>
        <w:tc>
          <w:tcPr>
            <w:tcW w:w="2268" w:type="dxa"/>
          </w:tcPr>
          <w:p w:rsidR="00E5723E" w:rsidRDefault="00E5723E" w:rsidP="00C438E5">
            <w:pPr>
              <w:cnfStyle w:val="000000000000" w:firstRow="0" w:lastRow="0" w:firstColumn="0" w:lastColumn="0" w:oddVBand="0" w:evenVBand="0" w:oddHBand="0" w:evenHBand="0" w:firstRowFirstColumn="0" w:firstRowLastColumn="0" w:lastRowFirstColumn="0" w:lastRowLastColumn="0"/>
              <w:rPr>
                <w:b/>
              </w:rPr>
            </w:pPr>
            <w:r>
              <w:rPr>
                <w:b/>
              </w:rPr>
              <w:t>„</w:t>
            </w:r>
            <w:proofErr w:type="spellStart"/>
            <w:r>
              <w:rPr>
                <w:b/>
              </w:rPr>
              <w:t>Nerozklíčované</w:t>
            </w:r>
            <w:proofErr w:type="spellEnd"/>
            <w:r>
              <w:rPr>
                <w:b/>
              </w:rPr>
              <w:t xml:space="preserve"> běžné výdaje informatiky“</w:t>
            </w:r>
          </w:p>
          <w:p w:rsidR="00E5723E" w:rsidRPr="00C51B32" w:rsidRDefault="00E5723E" w:rsidP="00E5723E">
            <w:pPr>
              <w:cnfStyle w:val="000000000000" w:firstRow="0" w:lastRow="0" w:firstColumn="0" w:lastColumn="0" w:oddVBand="0" w:evenVBand="0" w:oddHBand="0" w:evenHBand="0" w:firstRowFirstColumn="0" w:firstRowLastColumn="0" w:lastRowFirstColumn="0" w:lastRowLastColumn="0"/>
              <w:rPr>
                <w:b/>
              </w:rPr>
            </w:pPr>
            <w:r w:rsidRPr="006653F3">
              <w:t>Běžné výdaje</w:t>
            </w:r>
            <w:r>
              <w:t>, kap. 0</w:t>
            </w:r>
            <w:r>
              <w:t>9</w:t>
            </w:r>
            <w:r w:rsidRPr="006653F3">
              <w:br/>
              <w:t xml:space="preserve">ODPA </w:t>
            </w:r>
            <w:r>
              <w:rPr>
                <w:rStyle w:val="author-a-vz89zvz78zz65zz74zz66zz89znvz76z5xfz90zz82z"/>
              </w:rPr>
              <w:t>00</w:t>
            </w:r>
            <w:r>
              <w:rPr>
                <w:rStyle w:val="author-a-vz89zvz78zz65zz74zz66zz89znvz76z5xfz90zz82z"/>
              </w:rPr>
              <w:t>6171</w:t>
            </w:r>
            <w:r>
              <w:rPr>
                <w:rStyle w:val="author-a-vz89zvz78zz65zz74zz66zz89znvz76z5xfz90zz82z"/>
              </w:rPr>
              <w:t>,</w:t>
            </w:r>
            <w:r w:rsidRPr="006653F3">
              <w:br/>
            </w:r>
            <w:r>
              <w:rPr>
                <w:rStyle w:val="author-a-vz89zvz78zz65zz74zz66zz89znvz76z5xfz90zz82z"/>
              </w:rPr>
              <w:lastRenderedPageBreak/>
              <w:t>Činnost místní správy</w:t>
            </w:r>
            <w:r>
              <w:rPr>
                <w:rStyle w:val="author-a-vz89zvz78zz65zz74zz66zz89znvz76z5xfz90zz82z"/>
              </w:rPr>
              <w:t xml:space="preserve">, MHMP - </w:t>
            </w:r>
            <w:r>
              <w:rPr>
                <w:rStyle w:val="author-a-vz89zvz78zz65zz74zz66zz89znvz76z5xfz90zz82z"/>
              </w:rPr>
              <w:t>INF</w:t>
            </w:r>
          </w:p>
        </w:tc>
        <w:tc>
          <w:tcPr>
            <w:tcW w:w="1843" w:type="dxa"/>
          </w:tcPr>
          <w:p w:rsidR="00E5723E" w:rsidRDefault="00E66783" w:rsidP="00C438E5">
            <w:pPr>
              <w:jc w:val="right"/>
              <w:cnfStyle w:val="000000000000" w:firstRow="0" w:lastRow="0" w:firstColumn="0" w:lastColumn="0" w:oddVBand="0" w:evenVBand="0" w:oddHBand="0" w:evenHBand="0" w:firstRowFirstColumn="0" w:firstRowLastColumn="0" w:lastRowFirstColumn="0" w:lastRowLastColumn="0"/>
            </w:pPr>
            <w:r>
              <w:lastRenderedPageBreak/>
              <w:t>2</w:t>
            </w:r>
            <w:r w:rsidR="00282A97">
              <w:t>0 mil. Kč</w:t>
            </w:r>
          </w:p>
        </w:tc>
        <w:tc>
          <w:tcPr>
            <w:tcW w:w="2409" w:type="dxa"/>
          </w:tcPr>
          <w:p w:rsidR="00E5723E" w:rsidRDefault="00282A97" w:rsidP="00282A97">
            <w:pPr>
              <w:cnfStyle w:val="000000000000" w:firstRow="0" w:lastRow="0" w:firstColumn="0" w:lastColumn="0" w:oddVBand="0" w:evenVBand="0" w:oddHBand="0" w:evenHBand="0" w:firstRowFirstColumn="0" w:firstRowLastColumn="0" w:lastRowFirstColumn="0" w:lastRowLastColumn="0"/>
            </w:pPr>
            <w:r>
              <w:t xml:space="preserve">Nový investiční výdaj, kap. 09, </w:t>
            </w:r>
            <w:r w:rsidR="001C4A6A">
              <w:rPr>
                <w:rStyle w:val="author-a-vz89zvz78zz65zz74zz66zz89znvz76z5xfz90zz82z"/>
              </w:rPr>
              <w:t>MHMP INF, „</w:t>
            </w:r>
            <w:r w:rsidRPr="00E5723E">
              <w:rPr>
                <w:rStyle w:val="author-a-vz89zvz78zz65zz74zz66zz89znvz76z5xfz90zz82z"/>
              </w:rPr>
              <w:t>rozvoj open-source pro odstra</w:t>
            </w:r>
            <w:r w:rsidR="001C4A6A">
              <w:rPr>
                <w:rStyle w:val="author-a-vz89zvz78zz65zz74zz66zz89znvz76z5xfz90zz82z"/>
              </w:rPr>
              <w:t xml:space="preserve">nění stávajícího stavu </w:t>
            </w:r>
            <w:proofErr w:type="spellStart"/>
            <w:r w:rsidR="001C4A6A">
              <w:rPr>
                <w:rStyle w:val="author-a-vz89zvz78zz65zz74zz66zz89znvz76z5xfz90zz82z"/>
              </w:rPr>
              <w:t>vendor</w:t>
            </w:r>
            <w:proofErr w:type="spellEnd"/>
            <w:r w:rsidR="001C4A6A">
              <w:rPr>
                <w:rStyle w:val="author-a-vz89zvz78zz65zz74zz66zz89znvz76z5xfz90zz82z"/>
              </w:rPr>
              <w:t xml:space="preserve"> </w:t>
            </w:r>
            <w:proofErr w:type="spellStart"/>
            <w:r w:rsidR="001C4A6A">
              <w:rPr>
                <w:rStyle w:val="author-a-vz89zvz78zz65zz74zz66zz89znvz76z5xfz90zz82z"/>
              </w:rPr>
              <w:t>lock</w:t>
            </w:r>
            <w:proofErr w:type="spellEnd"/>
            <w:r w:rsidR="001C4A6A">
              <w:rPr>
                <w:rStyle w:val="author-a-vz89zvz78zz65zz74zz66zz89znvz76z5xfz90zz82z"/>
              </w:rPr>
              <w:t>-in“</w:t>
            </w:r>
          </w:p>
        </w:tc>
        <w:tc>
          <w:tcPr>
            <w:tcW w:w="7371" w:type="dxa"/>
          </w:tcPr>
          <w:p w:rsidR="00E5723E" w:rsidRDefault="00E5723E" w:rsidP="00E66783">
            <w:pPr>
              <w:cnfStyle w:val="000000000000" w:firstRow="0" w:lastRow="0" w:firstColumn="0" w:lastColumn="0" w:oddVBand="0" w:evenVBand="0" w:oddHBand="0" w:evenHBand="0" w:firstRowFirstColumn="0" w:firstRowLastColumn="0" w:lastRowFirstColumn="0" w:lastRowLastColumn="0"/>
              <w:rPr>
                <w:rStyle w:val="author-a-vz89zvz78zz65zz74zz66zz89znvz76z5xfz90zz82z"/>
              </w:rPr>
            </w:pPr>
            <w:r>
              <w:rPr>
                <w:rStyle w:val="author-a-vz89zvz78zz65zz74zz66zz89znvz76z5xfz90zz82z"/>
              </w:rPr>
              <w:t xml:space="preserve">Návrh rozpočtu počítá s běžnými výdaji </w:t>
            </w:r>
            <w:r w:rsidRPr="00E5723E">
              <w:rPr>
                <w:rStyle w:val="author-a-vz89zvz78zz65zz74zz66zz89znvz76z5xfz90zz82z"/>
              </w:rPr>
              <w:t>911</w:t>
            </w:r>
            <w:r>
              <w:rPr>
                <w:rStyle w:val="author-a-vz89zvz78zz65zz74zz66zz89znvz76z5xfz90zz82z"/>
              </w:rPr>
              <w:t xml:space="preserve"> mil. Kč na informatiku</w:t>
            </w:r>
            <w:r w:rsidR="001C4A6A">
              <w:rPr>
                <w:rStyle w:val="author-a-vz89zvz78zz65zz74zz66zz89znvz76z5xfz90zz82z"/>
              </w:rPr>
              <w:t>, z toho 668 mil. Kč je běžný roční rozpočet a zbytek jsou převody s minulého roku, které se neuskutečnily</w:t>
            </w:r>
            <w:r>
              <w:rPr>
                <w:rStyle w:val="author-a-vz89zvz78zz65zz74zz66zz89znvz76z5xfz90zz82z"/>
              </w:rPr>
              <w:t xml:space="preserve">. </w:t>
            </w:r>
            <w:r w:rsidR="001C4A6A">
              <w:rPr>
                <w:rStyle w:val="author-a-vz89zvz78zz65zz74zz66zz89znvz76z5xfz90zz82z"/>
              </w:rPr>
              <w:t>Č</w:t>
            </w:r>
            <w:r>
              <w:rPr>
                <w:rStyle w:val="author-a-vz89zvz78zz65zz74zz66zz89znvz76z5xfz90zz82z"/>
              </w:rPr>
              <w:t xml:space="preserve">ástka </w:t>
            </w:r>
            <w:r w:rsidR="001C4A6A">
              <w:rPr>
                <w:rStyle w:val="author-a-vz89zvz78zz65zz74zz66zz89znvz76z5xfz90zz82z"/>
              </w:rPr>
              <w:t xml:space="preserve">668 mil. Kč </w:t>
            </w:r>
            <w:r>
              <w:rPr>
                <w:rStyle w:val="author-a-vz89zvz78zz65zz74zz66zz89znvz76z5xfz90zz82z"/>
              </w:rPr>
              <w:t xml:space="preserve">je </w:t>
            </w:r>
            <w:r w:rsidR="001C4A6A">
              <w:rPr>
                <w:rStyle w:val="author-a-vz89zvz78zz65zz74zz66zz89znvz76z5xfz90zz82z"/>
              </w:rPr>
              <w:t xml:space="preserve">o 149 mil. Kč </w:t>
            </w:r>
            <w:r>
              <w:rPr>
                <w:rStyle w:val="author-a-vz89zvz78zz65zz74zz66zz89znvz76z5xfz90zz82z"/>
              </w:rPr>
              <w:t>vyšší</w:t>
            </w:r>
            <w:r w:rsidR="001C4A6A">
              <w:rPr>
                <w:rStyle w:val="author-a-vz89zvz78zz65zz74zz66zz89znvz76z5xfz90zz82z"/>
              </w:rPr>
              <w:t>,</w:t>
            </w:r>
            <w:r>
              <w:rPr>
                <w:rStyle w:val="author-a-vz89zvz78zz65zz74zz66zz89znvz76z5xfz90zz82z"/>
              </w:rPr>
              <w:t xml:space="preserve"> než tomu tak bylo v</w:t>
            </w:r>
            <w:r w:rsidR="001C4A6A">
              <w:rPr>
                <w:rStyle w:val="author-a-vz89zvz78zz65zz74zz66zz89znvz76z5xfz90zz82z"/>
              </w:rPr>
              <w:t> roce 2014</w:t>
            </w:r>
            <w:r>
              <w:rPr>
                <w:rStyle w:val="author-a-vz89zvz78zz65zz74zz66zz89znvz76z5xfz90zz82z"/>
              </w:rPr>
              <w:t xml:space="preserve">. Částečné navýšení je oprávněné, pokud jde o poskytování podpory k produktům, ke kterým byla problematickým způsobem přerušena. </w:t>
            </w:r>
            <w:r w:rsidR="00E66783">
              <w:rPr>
                <w:rStyle w:val="author-a-vz89zvz78zz65zz74zz66zz89znvz76z5xfz90zz82z"/>
              </w:rPr>
              <w:lastRenderedPageBreak/>
              <w:t>V důvodové zprávě zcela chybí rozpis výdajů včetně jejich výše, tedy nelze posoudit absolutní výši navrhovaných výdajů. I tak jsou z dokumentu patrné značné možnosti úspor. N</w:t>
            </w:r>
            <w:r w:rsidR="001C4A6A">
              <w:rPr>
                <w:rStyle w:val="author-a-vz89zvz78zz65zz74zz66zz89znvz76z5xfz90zz82z"/>
              </w:rPr>
              <w:t xml:space="preserve">apř. </w:t>
            </w:r>
            <w:r>
              <w:rPr>
                <w:rStyle w:val="author-a-vz89zvz78zz65zz74zz66zz89znvz76z5xfz90zz82z"/>
              </w:rPr>
              <w:t>navrhované úplné nahrazení operačního systému MS Windows na poslední verzi a odpovídající upgrade MS Office na všech počít</w:t>
            </w:r>
            <w:r w:rsidR="001C4A6A">
              <w:rPr>
                <w:rStyle w:val="author-a-vz89zvz78zz65zz74zz66zz89znvz76z5xfz90zz82z"/>
              </w:rPr>
              <w:t>ačích nepovažujeme v uvedeném rozsahu za hospodárný výdaj</w:t>
            </w:r>
            <w:r w:rsidR="00E66783">
              <w:rPr>
                <w:rStyle w:val="author-a-vz89zvz78zz65zz74zz66zz89znvz76z5xfz90zz82z"/>
              </w:rPr>
              <w:t xml:space="preserve"> bez zvážení alternativ</w:t>
            </w:r>
            <w:r>
              <w:rPr>
                <w:rStyle w:val="author-a-vz89zvz78zz65zz74zz66zz89znvz76z5xfz90zz82z"/>
              </w:rPr>
              <w:t>.</w:t>
            </w:r>
            <w:r w:rsidR="00E66783">
              <w:rPr>
                <w:rStyle w:val="author-a-vz89zvz78zz65zz74zz66zz89znvz76z5xfz90zz82z"/>
              </w:rPr>
              <w:t xml:space="preserve"> Není možné takto dlouhodobé rozhodnutí zdůvodňovat tím, že společnost Microsoft nyní vznáší vůči hl. m. Praze nové požadavky za údajné porušování licencí.</w:t>
            </w:r>
            <w:r>
              <w:rPr>
                <w:rStyle w:val="author-a-vz89zvz78zz65zz74zz66zz89znvz76z5xfz90zz82z"/>
              </w:rPr>
              <w:t xml:space="preserve"> </w:t>
            </w:r>
            <w:r w:rsidR="00282A97">
              <w:rPr>
                <w:rStyle w:val="author-a-vz89zvz78zz65zz74zz66zz89znvz76z5xfz90zz82z"/>
              </w:rPr>
              <w:t>Pokračování ve využívání proprietárních technologií</w:t>
            </w:r>
            <w:r>
              <w:rPr>
                <w:rStyle w:val="author-a-vz89zvz78zz65zz74zz66zz89znvz76z5xfz90zz82z"/>
              </w:rPr>
              <w:t xml:space="preserve"> způsobí zbytečnou finanční zátěž v rozsahu </w:t>
            </w:r>
            <w:r w:rsidR="00282A97">
              <w:rPr>
                <w:rStyle w:val="author-a-vz89zvz78zz65zz74zz66zz89znvz76z5xfz90zz82z"/>
              </w:rPr>
              <w:t>desítek milionů korun</w:t>
            </w:r>
            <w:r w:rsidR="00E66783">
              <w:rPr>
                <w:rStyle w:val="author-a-vz89zvz78zz65zz74zz66zz89znvz76z5xfz90zz82z"/>
              </w:rPr>
              <w:t xml:space="preserve"> a způsobuje stav tzv. </w:t>
            </w:r>
            <w:proofErr w:type="spellStart"/>
            <w:r w:rsidR="00E66783">
              <w:rPr>
                <w:rStyle w:val="author-a-vz89zvz78zz65zz74zz66zz89znvz76z5xfz90zz82z"/>
              </w:rPr>
              <w:t>vendor</w:t>
            </w:r>
            <w:proofErr w:type="spellEnd"/>
            <w:r w:rsidR="00E66783">
              <w:rPr>
                <w:rStyle w:val="author-a-vz89zvz78zz65zz74zz66zz89znvz76z5xfz90zz82z"/>
              </w:rPr>
              <w:t xml:space="preserve"> </w:t>
            </w:r>
            <w:proofErr w:type="spellStart"/>
            <w:r w:rsidR="00E66783">
              <w:rPr>
                <w:rStyle w:val="author-a-vz89zvz78zz65zz74zz66zz89znvz76z5xfz90zz82z"/>
              </w:rPr>
              <w:t>lock</w:t>
            </w:r>
            <w:proofErr w:type="spellEnd"/>
            <w:r w:rsidR="00E66783">
              <w:rPr>
                <w:rStyle w:val="author-a-vz89zvz78zz65zz74zz66zz89znvz76z5xfz90zz82z"/>
              </w:rPr>
              <w:t xml:space="preserve">-in (závislost na jediném dodavateli, např. </w:t>
            </w:r>
            <w:proofErr w:type="spellStart"/>
            <w:r w:rsidR="00E66783">
              <w:rPr>
                <w:rStyle w:val="author-a-vz89zvz78zz65zz74zz66zz89znvz76z5xfz90zz82z"/>
              </w:rPr>
              <w:t>Gordic</w:t>
            </w:r>
            <w:proofErr w:type="spellEnd"/>
            <w:r w:rsidR="00E66783">
              <w:rPr>
                <w:rStyle w:val="author-a-vz89zvz78zz65zz74zz66zz89znvz76z5xfz90zz82z"/>
              </w:rPr>
              <w:t xml:space="preserve">, </w:t>
            </w:r>
            <w:proofErr w:type="spellStart"/>
            <w:r w:rsidR="00E66783">
              <w:rPr>
                <w:rStyle w:val="author-a-vz89zvz78zz65zz74zz66zz89znvz76z5xfz90zz82z"/>
              </w:rPr>
              <w:t>Marbes</w:t>
            </w:r>
            <w:proofErr w:type="spellEnd"/>
            <w:r w:rsidR="00E66783">
              <w:rPr>
                <w:rStyle w:val="author-a-vz89zvz78zz65zz74zz66zz89znvz76z5xfz90zz82z"/>
              </w:rPr>
              <w:t>, EMS)</w:t>
            </w:r>
            <w:r w:rsidR="00282A97">
              <w:rPr>
                <w:rStyle w:val="author-a-vz89zvz78zz65zz74zz66zz89znvz76z5xfz90zz82z"/>
              </w:rPr>
              <w:t xml:space="preserve">. </w:t>
            </w:r>
            <w:r>
              <w:rPr>
                <w:rStyle w:val="author-a-vz89zvz78zz65zz74zz66zz89znvz76z5xfz90zz82z"/>
              </w:rPr>
              <w:t>Po</w:t>
            </w:r>
            <w:r w:rsidR="00282A97">
              <w:rPr>
                <w:rStyle w:val="author-a-vz89zvz78zz65zz74zz66zz89znvz76z5xfz90zz82z"/>
              </w:rPr>
              <w:t xml:space="preserve">dle </w:t>
            </w:r>
            <w:r>
              <w:rPr>
                <w:rStyle w:val="author-a-vz89zvz78zz65zz74zz66zz89znvz76z5xfz90zz82z"/>
              </w:rPr>
              <w:t xml:space="preserve">našeho názoru je třeba vytipovat </w:t>
            </w:r>
            <w:r w:rsidR="00282A97">
              <w:rPr>
                <w:rStyle w:val="author-a-vz89zvz78zz65zz74zz66zz89znvz76z5xfz90zz82z"/>
              </w:rPr>
              <w:t>oblasti, ve kterých je možné uspořit využitím stejně kvalitních open-source produktů (</w:t>
            </w:r>
            <w:r w:rsidR="001C4A6A">
              <w:rPr>
                <w:rStyle w:val="author-a-vz89zvz78zz65zz74zz66zz89znvz76z5xfz90zz82z"/>
              </w:rPr>
              <w:t xml:space="preserve">zdarma dostupný software s možností úprav na míru, např. </w:t>
            </w:r>
            <w:r w:rsidR="001C4A6A">
              <w:rPr>
                <w:rStyle w:val="author-a-vz89zvz78zz65zz74zz66zz89znvz76z5xfz90zz82z"/>
              </w:rPr>
              <w:t xml:space="preserve">databáze </w:t>
            </w:r>
            <w:proofErr w:type="spellStart"/>
            <w:r w:rsidR="001C4A6A">
              <w:rPr>
                <w:rStyle w:val="author-a-vz89zvz78zz65zz74zz66zz89znvz76z5xfz90zz82z"/>
              </w:rPr>
              <w:t>Postgre</w:t>
            </w:r>
            <w:r w:rsidR="001C4A6A">
              <w:rPr>
                <w:rStyle w:val="author-a-vz89zvz78zz65zz74zz66zz89znvz76z5xfz90zz82z"/>
              </w:rPr>
              <w:t>SQL</w:t>
            </w:r>
            <w:proofErr w:type="spellEnd"/>
            <w:r w:rsidR="001C4A6A">
              <w:rPr>
                <w:rStyle w:val="author-a-vz89zvz78zz65zz74zz66zz89znvz76z5xfz90zz82z"/>
              </w:rPr>
              <w:t xml:space="preserve">, webový </w:t>
            </w:r>
            <w:proofErr w:type="spellStart"/>
            <w:r w:rsidR="001C4A6A">
              <w:rPr>
                <w:rStyle w:val="author-a-vz89zvz78zz65zz74zz66zz89znvz76z5xfz90zz82z"/>
              </w:rPr>
              <w:t>framework</w:t>
            </w:r>
            <w:proofErr w:type="spellEnd"/>
            <w:r w:rsidR="001C4A6A">
              <w:rPr>
                <w:rStyle w:val="author-a-vz89zvz78zz65zz74zz66zz89znvz76z5xfz90zz82z"/>
              </w:rPr>
              <w:t xml:space="preserve"> </w:t>
            </w:r>
            <w:proofErr w:type="spellStart"/>
            <w:r w:rsidR="001C4A6A">
              <w:rPr>
                <w:rStyle w:val="author-a-vz89zvz78zz65zz74zz66zz89znvz76z5xfz90zz82z"/>
              </w:rPr>
              <w:t>Drupal</w:t>
            </w:r>
            <w:proofErr w:type="spellEnd"/>
            <w:r w:rsidR="001C4A6A">
              <w:rPr>
                <w:rStyle w:val="author-a-vz89zvz78zz65zz74zz66zz89znvz76z5xfz90zz82z"/>
              </w:rPr>
              <w:t xml:space="preserve">, na projektové vedení, výčetky a </w:t>
            </w:r>
            <w:proofErr w:type="spellStart"/>
            <w:r w:rsidR="001C4A6A">
              <w:rPr>
                <w:rStyle w:val="author-a-vz89zvz78zz65zz74zz66zz89znvz76z5xfz90zz82z"/>
              </w:rPr>
              <w:t>helpdesk</w:t>
            </w:r>
            <w:proofErr w:type="spellEnd"/>
            <w:r w:rsidR="001C4A6A">
              <w:rPr>
                <w:rStyle w:val="author-a-vz89zvz78zz65zz74zz66zz89znvz76z5xfz90zz82z"/>
              </w:rPr>
              <w:t xml:space="preserve"> </w:t>
            </w:r>
            <w:proofErr w:type="spellStart"/>
            <w:r w:rsidR="001C4A6A">
              <w:rPr>
                <w:rStyle w:val="author-a-vz89zvz78zz65zz74zz66zz89znvz76z5xfz90zz82z"/>
              </w:rPr>
              <w:t>Redmine</w:t>
            </w:r>
            <w:proofErr w:type="spellEnd"/>
            <w:r w:rsidR="001C4A6A">
              <w:rPr>
                <w:rStyle w:val="author-a-vz89zvz78zz65zz74zz66zz89znvz76z5xfz90zz82z"/>
              </w:rPr>
              <w:t xml:space="preserve">, na </w:t>
            </w:r>
            <w:proofErr w:type="spellStart"/>
            <w:r w:rsidR="001C4A6A">
              <w:rPr>
                <w:rStyle w:val="author-a-vz89zvz78zz65zz74zz66zz89znvz76z5xfz90zz82z"/>
              </w:rPr>
              <w:t>verzování</w:t>
            </w:r>
            <w:proofErr w:type="spellEnd"/>
            <w:r w:rsidR="001C4A6A">
              <w:rPr>
                <w:rStyle w:val="author-a-vz89zvz78zz65zz74zz66zz89znvz76z5xfz90zz82z"/>
              </w:rPr>
              <w:t xml:space="preserve"> </w:t>
            </w:r>
            <w:proofErr w:type="spellStart"/>
            <w:r w:rsidR="001C4A6A">
              <w:rPr>
                <w:rStyle w:val="author-a-vz89zvz78zz65zz74zz66zz89znvz76z5xfz90zz82z"/>
              </w:rPr>
              <w:t>git</w:t>
            </w:r>
            <w:proofErr w:type="spellEnd"/>
            <w:r w:rsidR="001C4A6A">
              <w:rPr>
                <w:rStyle w:val="author-a-vz89zvz78zz65zz74zz66zz89znvz76z5xfz90zz82z"/>
              </w:rPr>
              <w:t xml:space="preserve">, na správu dokumentů (DMS) </w:t>
            </w:r>
            <w:proofErr w:type="spellStart"/>
            <w:r w:rsidR="001C4A6A">
              <w:rPr>
                <w:rStyle w:val="author-a-vz89zvz78zz65zz74zz66zz89znvz76z5xfz90zz82z"/>
              </w:rPr>
              <w:t>Alfresco</w:t>
            </w:r>
            <w:proofErr w:type="spellEnd"/>
            <w:r w:rsidR="00282A97">
              <w:rPr>
                <w:rStyle w:val="author-a-vz89zvz78zz65zz74zz66zz89znvz76z5xfz90zz82z"/>
              </w:rPr>
              <w:t xml:space="preserve"> </w:t>
            </w:r>
            <w:r w:rsidR="001C4A6A">
              <w:rPr>
                <w:rStyle w:val="author-a-vz89zvz78zz65zz74zz66zz89znvz76z5xfz90zz82z"/>
              </w:rPr>
              <w:t xml:space="preserve">– již zaváděno, na monitorování serverů </w:t>
            </w:r>
            <w:proofErr w:type="spellStart"/>
            <w:r w:rsidR="001C4A6A">
              <w:rPr>
                <w:rStyle w:val="author-a-vz89zvz78zz65zz74zz66zz89znvz76z5xfz90zz82z"/>
              </w:rPr>
              <w:t>Zabix</w:t>
            </w:r>
            <w:proofErr w:type="spellEnd"/>
            <w:r w:rsidR="001C4A6A">
              <w:rPr>
                <w:rStyle w:val="author-a-vz89zvz78zz65zz74zz66zz89znvz76z5xfz90zz82z"/>
              </w:rPr>
              <w:t xml:space="preserve"> , na </w:t>
            </w:r>
            <w:proofErr w:type="spellStart"/>
            <w:r w:rsidR="001C4A6A">
              <w:rPr>
                <w:rStyle w:val="author-a-vz89zvz78zz65zz74zz66zz89znvz76z5xfz90zz82z"/>
              </w:rPr>
              <w:t>virtualizaci</w:t>
            </w:r>
            <w:proofErr w:type="spellEnd"/>
            <w:r w:rsidR="001C4A6A">
              <w:rPr>
                <w:rStyle w:val="author-a-vz89zvz78zz65zz74zz66zz89znvz76z5xfz90zz82z"/>
              </w:rPr>
              <w:t xml:space="preserve"> KVM</w:t>
            </w:r>
            <w:r w:rsidR="00E66783">
              <w:rPr>
                <w:rStyle w:val="author-a-vz89zvz78zz65zz74zz66zz89znvz76z5xfz90zz82z"/>
              </w:rPr>
              <w:t xml:space="preserve">, tvorba dokumentů </w:t>
            </w:r>
            <w:proofErr w:type="spellStart"/>
            <w:r w:rsidR="00E66783">
              <w:rPr>
                <w:rStyle w:val="author-a-vz89zvz78zz65zz74zz66zz89znvz76z5xfz90zz82z"/>
              </w:rPr>
              <w:t>Libre</w:t>
            </w:r>
            <w:proofErr w:type="spellEnd"/>
            <w:r w:rsidR="00E66783">
              <w:rPr>
                <w:rStyle w:val="author-a-vz89zvz78zz65zz74zz66zz89znvz76z5xfz90zz82z"/>
              </w:rPr>
              <w:t xml:space="preserve"> Office</w:t>
            </w:r>
            <w:r w:rsidR="001C4A6A">
              <w:rPr>
                <w:rStyle w:val="author-a-vz89zvz78zz65zz74zz66zz89znvz76z5xfz90zz82z"/>
              </w:rPr>
              <w:t xml:space="preserve"> </w:t>
            </w:r>
            <w:r w:rsidR="00282A97">
              <w:rPr>
                <w:rStyle w:val="author-a-vz89zvz78zz65zz74zz66zz89znvz76z5xfz90zz82z"/>
              </w:rPr>
              <w:t>apod.). Městská knihovna v Praze využívá na části svých počítačů open-source a není důvod, proč by 40 metrů vzdálený magistrát nemohl používat na části počítačů rovněž open-source</w:t>
            </w:r>
            <w:r w:rsidR="00E66783">
              <w:rPr>
                <w:rStyle w:val="author-a-vz89zvz78zz65zz74zz66zz89znvz76z5xfz90zz82z"/>
              </w:rPr>
              <w:t xml:space="preserve"> (např. vrátný nepotřebuje MS Office)</w:t>
            </w:r>
            <w:r w:rsidR="00282A97">
              <w:rPr>
                <w:rStyle w:val="author-a-vz89zvz78zz65zz74zz66zz89znvz76z5xfz90zz82z"/>
              </w:rPr>
              <w:t>. Toto nasazení by mělo být testováno v pilotním provozu, přičemž dosavad</w:t>
            </w:r>
            <w:r w:rsidR="001C4A6A">
              <w:rPr>
                <w:rStyle w:val="author-a-vz89zvz78zz65zz74zz66zz89znvz76z5xfz90zz82z"/>
              </w:rPr>
              <w:t>ní prod</w:t>
            </w:r>
            <w:r w:rsidR="00E66783">
              <w:rPr>
                <w:rStyle w:val="author-a-vz89zvz78zz65zz74zz66zz89znvz76z5xfz90zz82z"/>
              </w:rPr>
              <w:t>ukty je třeba i nadále udržovat/podporovat, aby byl přechod pro současné uživatele hladký.</w:t>
            </w:r>
          </w:p>
        </w:tc>
      </w:tr>
      <w:tr w:rsidR="00E66783" w:rsidTr="00665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E66783" w:rsidRDefault="00E66783" w:rsidP="006F3BED">
            <w:r>
              <w:lastRenderedPageBreak/>
              <w:t>5.</w:t>
            </w:r>
          </w:p>
        </w:tc>
        <w:tc>
          <w:tcPr>
            <w:tcW w:w="2268" w:type="dxa"/>
          </w:tcPr>
          <w:p w:rsidR="00E66783" w:rsidRDefault="00E66783" w:rsidP="00E66783">
            <w:pPr>
              <w:cnfStyle w:val="000000100000" w:firstRow="0" w:lastRow="0" w:firstColumn="0" w:lastColumn="0" w:oddVBand="0" w:evenVBand="0" w:oddHBand="1" w:evenHBand="0" w:firstRowFirstColumn="0" w:firstRowLastColumn="0" w:lastRowFirstColumn="0" w:lastRowLastColumn="0"/>
              <w:rPr>
                <w:b/>
              </w:rPr>
            </w:pPr>
            <w:r>
              <w:rPr>
                <w:b/>
              </w:rPr>
              <w:t>„Investiční rezerva informatiky“</w:t>
            </w:r>
          </w:p>
          <w:p w:rsidR="00E66783" w:rsidRPr="00E66783" w:rsidRDefault="00E66783" w:rsidP="00E66783">
            <w:pPr>
              <w:cnfStyle w:val="000000100000" w:firstRow="0" w:lastRow="0" w:firstColumn="0" w:lastColumn="0" w:oddVBand="0" w:evenVBand="0" w:oddHBand="1" w:evenHBand="0" w:firstRowFirstColumn="0" w:firstRowLastColumn="0" w:lastRowFirstColumn="0" w:lastRowLastColumn="0"/>
            </w:pPr>
            <w:r w:rsidRPr="00E66783">
              <w:t>Kapitálové výdaje, kap. 09, akce 0041669</w:t>
            </w:r>
          </w:p>
        </w:tc>
        <w:tc>
          <w:tcPr>
            <w:tcW w:w="1843" w:type="dxa"/>
          </w:tcPr>
          <w:p w:rsidR="00E66783" w:rsidRDefault="00E66783" w:rsidP="00C438E5">
            <w:pPr>
              <w:jc w:val="right"/>
              <w:cnfStyle w:val="000000100000" w:firstRow="0" w:lastRow="0" w:firstColumn="0" w:lastColumn="0" w:oddVBand="0" w:evenVBand="0" w:oddHBand="1" w:evenHBand="0" w:firstRowFirstColumn="0" w:firstRowLastColumn="0" w:lastRowFirstColumn="0" w:lastRowLastColumn="0"/>
            </w:pPr>
            <w:r>
              <w:t>40 mil. Kč</w:t>
            </w:r>
          </w:p>
        </w:tc>
        <w:tc>
          <w:tcPr>
            <w:tcW w:w="2409" w:type="dxa"/>
          </w:tcPr>
          <w:p w:rsidR="00E66783" w:rsidRDefault="00E66783" w:rsidP="00C438E5">
            <w:pPr>
              <w:cnfStyle w:val="000000100000" w:firstRow="0" w:lastRow="0" w:firstColumn="0" w:lastColumn="0" w:oddVBand="0" w:evenVBand="0" w:oddHBand="1" w:evenHBand="0" w:firstRowFirstColumn="0" w:firstRowLastColumn="0" w:lastRowFirstColumn="0" w:lastRowLastColumn="0"/>
            </w:pPr>
            <w:r>
              <w:t xml:space="preserve">Nový investiční výdaj, kap. 09, </w:t>
            </w:r>
            <w:r>
              <w:rPr>
                <w:rStyle w:val="author-a-vz89zvz78zz65zz74zz66zz89znvz76z5xfz90zz82z"/>
              </w:rPr>
              <w:t>MHMP INF, „</w:t>
            </w:r>
            <w:r w:rsidRPr="00E5723E">
              <w:rPr>
                <w:rStyle w:val="author-a-vz89zvz78zz65zz74zz66zz89znvz76z5xfz90zz82z"/>
              </w:rPr>
              <w:t>rozvoj open-source pro odstra</w:t>
            </w:r>
            <w:r>
              <w:rPr>
                <w:rStyle w:val="author-a-vz89zvz78zz65zz74zz66zz89znvz76z5xfz90zz82z"/>
              </w:rPr>
              <w:t xml:space="preserve">nění stávajícího stavu </w:t>
            </w:r>
            <w:proofErr w:type="spellStart"/>
            <w:r>
              <w:rPr>
                <w:rStyle w:val="author-a-vz89zvz78zz65zz74zz66zz89znvz76z5xfz90zz82z"/>
              </w:rPr>
              <w:t>vendor</w:t>
            </w:r>
            <w:proofErr w:type="spellEnd"/>
            <w:r>
              <w:rPr>
                <w:rStyle w:val="author-a-vz89zvz78zz65zz74zz66zz89znvz76z5xfz90zz82z"/>
              </w:rPr>
              <w:t xml:space="preserve"> </w:t>
            </w:r>
            <w:proofErr w:type="spellStart"/>
            <w:r>
              <w:rPr>
                <w:rStyle w:val="author-a-vz89zvz78zz65zz74zz66zz89znvz76z5xfz90zz82z"/>
              </w:rPr>
              <w:t>lock</w:t>
            </w:r>
            <w:proofErr w:type="spellEnd"/>
            <w:r>
              <w:rPr>
                <w:rStyle w:val="author-a-vz89zvz78zz65zz74zz66zz89znvz76z5xfz90zz82z"/>
              </w:rPr>
              <w:t>-in“</w:t>
            </w:r>
          </w:p>
        </w:tc>
        <w:tc>
          <w:tcPr>
            <w:tcW w:w="7371" w:type="dxa"/>
          </w:tcPr>
          <w:p w:rsidR="00E66783" w:rsidRDefault="009B1F68" w:rsidP="009B1F68">
            <w:pPr>
              <w:cnfStyle w:val="000000100000" w:firstRow="0" w:lastRow="0" w:firstColumn="0" w:lastColumn="0" w:oddVBand="0" w:evenVBand="0" w:oddHBand="1" w:evenHBand="0" w:firstRowFirstColumn="0" w:firstRowLastColumn="0" w:lastRowFirstColumn="0" w:lastRowLastColumn="0"/>
              <w:rPr>
                <w:rStyle w:val="author-a-vz89zvz78zz65zz74zz66zz89znvz76z5xfz90zz82z"/>
              </w:rPr>
            </w:pPr>
            <w:r>
              <w:rPr>
                <w:rStyle w:val="author-a-vz89zvz78zz65zz74zz66zz89znvz76z5xfz90zz82z"/>
              </w:rPr>
              <w:t xml:space="preserve">Návrh rozpočtu počítá vedle vypsaných výdajů s investiční rezervou odboru informatiky ve výši 325 mil. Kč. Stejně jako v případě běžných výdajů informatiky jde o výdaj, u kterého není uvedeno ani rámcově, jaké platby z něho budou uskutečněny. </w:t>
            </w:r>
            <w:r>
              <w:rPr>
                <w:rStyle w:val="author-a-vz89zvz78zz65zz74zz66zz89znvz76z5xfz90zz82z"/>
              </w:rPr>
              <w:t xml:space="preserve">V odůvodnění je napsána jedna věta, že jde o rezervu na řešení kritických požadavků v rámci realizace koncepce informačních systémů MHMP. </w:t>
            </w:r>
            <w:r>
              <w:rPr>
                <w:rStyle w:val="author-a-vz89zvz78zz65zz74zz66zz89znvz76z5xfz90zz82z"/>
              </w:rPr>
              <w:t xml:space="preserve">Za </w:t>
            </w:r>
            <w:proofErr w:type="gramStart"/>
            <w:r>
              <w:rPr>
                <w:rStyle w:val="author-a-vz89zvz78zz65zz74zz66zz89znvz76z5xfz90zz82z"/>
              </w:rPr>
              <w:t>prvé</w:t>
            </w:r>
            <w:proofErr w:type="gramEnd"/>
            <w:r>
              <w:rPr>
                <w:rStyle w:val="author-a-vz89zvz78zz65zz74zz66zz89znvz76z5xfz90zz82z"/>
              </w:rPr>
              <w:t xml:space="preserve"> k</w:t>
            </w:r>
            <w:r>
              <w:rPr>
                <w:rStyle w:val="author-a-vz89zvz78zz65zz74zz66zz89znvz76z5xfz90zz82z"/>
              </w:rPr>
              <w:t>oncepci informačních systémů má schvalovat zastupitelstvo, dosud se tak nestalo</w:t>
            </w:r>
            <w:r>
              <w:rPr>
                <w:rStyle w:val="author-a-vz89zvz78zz65zz74zz66zz89znvz76z5xfz90zz82z"/>
              </w:rPr>
              <w:t>, a tedy není jasné, na co má být tolik peněz vynaloženo (investováno)</w:t>
            </w:r>
            <w:r>
              <w:rPr>
                <w:rStyle w:val="author-a-vz89zvz78zz65zz74zz66zz89znvz76z5xfz90zz82z"/>
              </w:rPr>
              <w:t>. Náklady akce celkem jsou</w:t>
            </w:r>
            <w:r>
              <w:rPr>
                <w:rStyle w:val="author-a-vz89zvz78zz65zz74zz66zz89znvz76z5xfz90zz82z"/>
              </w:rPr>
              <w:t xml:space="preserve"> v tabulce</w:t>
            </w:r>
            <w:r>
              <w:rPr>
                <w:rStyle w:val="author-a-vz89zvz78zz65zz74zz66zz89znvz76z5xfz90zz82z"/>
              </w:rPr>
              <w:t xml:space="preserve"> předepsány 40 mil. Kč a nelze tedy vydat vyšší částku</w:t>
            </w:r>
            <w:r>
              <w:rPr>
                <w:rStyle w:val="author-a-vz89zvz78zz65zz74zz66zz89znvz76z5xfz90zz82z"/>
              </w:rPr>
              <w:t xml:space="preserve"> až 325 mil. Kč.</w:t>
            </w:r>
            <w:r>
              <w:rPr>
                <w:rStyle w:val="author-a-vz89zvz78zz65zz74zz66zz89znvz76z5xfz90zz82z"/>
              </w:rPr>
              <w:t xml:space="preserve"> Není navíc vůbec jasné, na co jsou ty peníze alokovány, nejsou popsány žádné kritické požadavky, na které by mohly být použity. Svědčí o naprosto laxním přístupu odboru informatiky a absenci dozoru ze strany řízení sekce. Výbor </w:t>
            </w:r>
            <w:r>
              <w:rPr>
                <w:rStyle w:val="author-a-vz89zvz78zz65zz74zz66zz89znvz76z5xfz90zz82z"/>
              </w:rPr>
              <w:t xml:space="preserve">zastupitelstva s gescí pro </w:t>
            </w:r>
            <w:r>
              <w:rPr>
                <w:rStyle w:val="author-a-vz89zvz78zz65zz74zz66zz89znvz76z5xfz90zz82z"/>
              </w:rPr>
              <w:lastRenderedPageBreak/>
              <w:t xml:space="preserve">informatiky </w:t>
            </w:r>
            <w:r>
              <w:rPr>
                <w:rStyle w:val="author-a-vz89zvz78zz65zz74zz66zz89znvz76z5xfz90zz82z"/>
              </w:rPr>
              <w:t>nepřijal doporučující usnesení.</w:t>
            </w:r>
            <w:r>
              <w:rPr>
                <w:rStyle w:val="author-a-vz89zvz78zz65zz74zz66zz89znvz76z5xfz90zz82z"/>
              </w:rPr>
              <w:t xml:space="preserve"> Navrhujeme s</w:t>
            </w:r>
            <w:r w:rsidR="00E66783" w:rsidRPr="00E66783">
              <w:rPr>
                <w:rStyle w:val="author-a-vz89zvz78zz65zz74zz66zz89znvz76z5xfz90zz82z"/>
              </w:rPr>
              <w:t xml:space="preserve">nížit investiční položku </w:t>
            </w:r>
            <w:r>
              <w:rPr>
                <w:rStyle w:val="author-a-vz89zvz78zz65zz74zz66zz89znvz76z5xfz90zz82z"/>
              </w:rPr>
              <w:t xml:space="preserve">a definovat jasněji její účel na odstranění stavu </w:t>
            </w:r>
            <w:proofErr w:type="spellStart"/>
            <w:r>
              <w:rPr>
                <w:rStyle w:val="author-a-vz89zvz78zz65zz74zz66zz89znvz76z5xfz90zz82z"/>
              </w:rPr>
              <w:t>vendor</w:t>
            </w:r>
            <w:proofErr w:type="spellEnd"/>
            <w:r>
              <w:rPr>
                <w:rStyle w:val="author-a-vz89zvz78zz65zz74zz66zz89znvz76z5xfz90zz82z"/>
              </w:rPr>
              <w:t xml:space="preserve"> </w:t>
            </w:r>
            <w:proofErr w:type="spellStart"/>
            <w:r>
              <w:rPr>
                <w:rStyle w:val="author-a-vz89zvz78zz65zz74zz66zz89znvz76z5xfz90zz82z"/>
              </w:rPr>
              <w:t>lock</w:t>
            </w:r>
            <w:proofErr w:type="spellEnd"/>
            <w:r>
              <w:rPr>
                <w:rStyle w:val="author-a-vz89zvz78zz65zz74zz66zz89znvz76z5xfz90zz82z"/>
              </w:rPr>
              <w:t xml:space="preserve">-in, který brání otevřenému soutěžení mezi dodavateli v oblasti informatiky (viz výše). </w:t>
            </w:r>
          </w:p>
        </w:tc>
      </w:tr>
      <w:tr w:rsidR="009B1F68" w:rsidTr="006653F3">
        <w:tc>
          <w:tcPr>
            <w:cnfStyle w:val="001000000000" w:firstRow="0" w:lastRow="0" w:firstColumn="1" w:lastColumn="0" w:oddVBand="0" w:evenVBand="0" w:oddHBand="0" w:evenHBand="0" w:firstRowFirstColumn="0" w:firstRowLastColumn="0" w:lastRowFirstColumn="0" w:lastRowLastColumn="0"/>
            <w:tcW w:w="392" w:type="dxa"/>
          </w:tcPr>
          <w:p w:rsidR="009B1F68" w:rsidRDefault="009B1F68" w:rsidP="006F3BED">
            <w:r>
              <w:lastRenderedPageBreak/>
              <w:t>6.</w:t>
            </w:r>
          </w:p>
        </w:tc>
        <w:tc>
          <w:tcPr>
            <w:tcW w:w="2268" w:type="dxa"/>
          </w:tcPr>
          <w:p w:rsidR="009B1F68" w:rsidRDefault="009B1F68" w:rsidP="00C438E5">
            <w:pPr>
              <w:cnfStyle w:val="000000000000" w:firstRow="0" w:lastRow="0" w:firstColumn="0" w:lastColumn="0" w:oddVBand="0" w:evenVBand="0" w:oddHBand="0" w:evenHBand="0" w:firstRowFirstColumn="0" w:firstRowLastColumn="0" w:lastRowFirstColumn="0" w:lastRowLastColumn="0"/>
              <w:rPr>
                <w:b/>
              </w:rPr>
            </w:pPr>
            <w:r>
              <w:rPr>
                <w:b/>
              </w:rPr>
              <w:t>„Turnikety na radnici“</w:t>
            </w:r>
          </w:p>
          <w:p w:rsidR="009B1F68" w:rsidRPr="00C51B32" w:rsidRDefault="009B1F68" w:rsidP="009B1F68">
            <w:pPr>
              <w:cnfStyle w:val="000000000000" w:firstRow="0" w:lastRow="0" w:firstColumn="0" w:lastColumn="0" w:oddVBand="0" w:evenVBand="0" w:oddHBand="0" w:evenHBand="0" w:firstRowFirstColumn="0" w:firstRowLastColumn="0" w:lastRowFirstColumn="0" w:lastRowLastColumn="0"/>
              <w:rPr>
                <w:b/>
              </w:rPr>
            </w:pPr>
            <w:r w:rsidRPr="009B1F68">
              <w:rPr>
                <w:rStyle w:val="author-a-vz89zvz78zz65zz74zz66zz89znvz76z5xfz90zz82z"/>
              </w:rPr>
              <w:t>akce 0000000, rozvoj a obnova JBS</w:t>
            </w:r>
            <w:r>
              <w:rPr>
                <w:rStyle w:val="author-a-vz89zvz78zz65zz74zz66zz89znvz76z5xfz90zz82z"/>
              </w:rPr>
              <w:t xml:space="preserve">, </w:t>
            </w:r>
            <w:r w:rsidRPr="009B1F68">
              <w:rPr>
                <w:rStyle w:val="author-a-vz89zvz78zz65zz74zz66zz89znvz76z5xfz90zz82z"/>
              </w:rPr>
              <w:t>MHMP - SLU</w:t>
            </w:r>
          </w:p>
        </w:tc>
        <w:tc>
          <w:tcPr>
            <w:tcW w:w="1843" w:type="dxa"/>
          </w:tcPr>
          <w:p w:rsidR="009B1F68" w:rsidRPr="009B1F68" w:rsidRDefault="009B1F68" w:rsidP="00C438E5">
            <w:pPr>
              <w:jc w:val="right"/>
              <w:cnfStyle w:val="000000000000" w:firstRow="0" w:lastRow="0" w:firstColumn="0" w:lastColumn="0" w:oddVBand="0" w:evenVBand="0" w:oddHBand="0" w:evenHBand="0" w:firstRowFirstColumn="0" w:firstRowLastColumn="0" w:lastRowFirstColumn="0" w:lastRowLastColumn="0"/>
            </w:pPr>
            <w:r w:rsidRPr="009B1F68">
              <w:t>20 mil. Kč</w:t>
            </w:r>
          </w:p>
        </w:tc>
        <w:tc>
          <w:tcPr>
            <w:tcW w:w="2409" w:type="dxa"/>
          </w:tcPr>
          <w:p w:rsidR="009B1F68" w:rsidRPr="009B1F68" w:rsidRDefault="009B1F68" w:rsidP="00C438E5">
            <w:pPr>
              <w:cnfStyle w:val="000000000000" w:firstRow="0" w:lastRow="0" w:firstColumn="0" w:lastColumn="0" w:oddVBand="0" w:evenVBand="0" w:oddHBand="0" w:evenHBand="0" w:firstRowFirstColumn="0" w:firstRowLastColumn="0" w:lastRowFirstColumn="0" w:lastRowLastColumn="0"/>
            </w:pPr>
            <w:r w:rsidRPr="009B1F68">
              <w:t>Započíst na saldo</w:t>
            </w:r>
          </w:p>
          <w:p w:rsidR="009B1F68" w:rsidRPr="009B1F68" w:rsidRDefault="009B1F68" w:rsidP="00C438E5">
            <w:pPr>
              <w:cnfStyle w:val="000000000000" w:firstRow="0" w:lastRow="0" w:firstColumn="0" w:lastColumn="0" w:oddVBand="0" w:evenVBand="0" w:oddHBand="0" w:evenHBand="0" w:firstRowFirstColumn="0" w:firstRowLastColumn="0" w:lastRowFirstColumn="0" w:lastRowLastColumn="0"/>
            </w:pPr>
            <w:r w:rsidRPr="009B1F68">
              <w:t>Snížit financování změnou na bankovních účtech *)</w:t>
            </w:r>
          </w:p>
        </w:tc>
        <w:tc>
          <w:tcPr>
            <w:tcW w:w="7371" w:type="dxa"/>
          </w:tcPr>
          <w:p w:rsidR="009B1F68" w:rsidRPr="009B1F68" w:rsidRDefault="009B1F68" w:rsidP="009B1F68">
            <w:pPr>
              <w:cnfStyle w:val="000000000000" w:firstRow="0" w:lastRow="0" w:firstColumn="0" w:lastColumn="0" w:oddVBand="0" w:evenVBand="0" w:oddHBand="0" w:evenHBand="0" w:firstRowFirstColumn="0" w:firstRowLastColumn="0" w:lastRowFirstColumn="0" w:lastRowLastColumn="0"/>
              <w:rPr>
                <w:rStyle w:val="author-a-vz89zvz78zz65zz74zz66zz89znvz76z5xfz90zz82z"/>
              </w:rPr>
            </w:pPr>
            <w:r>
              <w:rPr>
                <w:rStyle w:val="author-a-vz89zvz78zz65zz74zz66zz89znvz76z5xfz90zz82z"/>
              </w:rPr>
              <w:t>Z popisu akce jednotného bezpečnostního systému není jasné, co se jím rozumí. Pokud se jím (podle mediálních prohlášení zástupců koalice) rozumí zavedení turniketů na radnici, považujeme tento návrh za nepřijatelný. Občan by měl mít jednoduchý a bezprostřední přístup ke svému zastupiteli. Proti vstupu bezdomovců a jinému nepřijatelnému chování může zasáhnout bezpečnostní služba, která objekt radnice nepřetržitě hlídá, případně v některé době strážníci městské policie, kteří jsou přítomni. Jsme proti dalšímu opevňování úřadu před občany.</w:t>
            </w:r>
          </w:p>
        </w:tc>
      </w:tr>
      <w:tr w:rsidR="009B1F68" w:rsidTr="00665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B1F68" w:rsidRDefault="009B1F68" w:rsidP="006F3BED">
            <w:r>
              <w:t xml:space="preserve">7. </w:t>
            </w:r>
          </w:p>
        </w:tc>
        <w:tc>
          <w:tcPr>
            <w:tcW w:w="2268" w:type="dxa"/>
          </w:tcPr>
          <w:p w:rsidR="009B1F68" w:rsidRPr="00C51B32" w:rsidRDefault="009E69AB" w:rsidP="00C438E5">
            <w:pPr>
              <w:cnfStyle w:val="000000100000" w:firstRow="0" w:lastRow="0" w:firstColumn="0" w:lastColumn="0" w:oddVBand="0" w:evenVBand="0" w:oddHBand="1" w:evenHBand="0" w:firstRowFirstColumn="0" w:firstRowLastColumn="0" w:lastRowFirstColumn="0" w:lastRowLastColumn="0"/>
              <w:rPr>
                <w:b/>
              </w:rPr>
            </w:pPr>
            <w:r>
              <w:rPr>
                <w:b/>
              </w:rPr>
              <w:t>„Podchod Partyzánská“</w:t>
            </w:r>
          </w:p>
        </w:tc>
        <w:tc>
          <w:tcPr>
            <w:tcW w:w="1843" w:type="dxa"/>
          </w:tcPr>
          <w:p w:rsidR="009B1F68" w:rsidRDefault="009B1F68" w:rsidP="00C438E5">
            <w:pPr>
              <w:jc w:val="right"/>
              <w:cnfStyle w:val="000000100000" w:firstRow="0" w:lastRow="0" w:firstColumn="0" w:lastColumn="0" w:oddVBand="0" w:evenVBand="0" w:oddHBand="1" w:evenHBand="0" w:firstRowFirstColumn="0" w:firstRowLastColumn="0" w:lastRowFirstColumn="0" w:lastRowLastColumn="0"/>
            </w:pPr>
          </w:p>
        </w:tc>
        <w:tc>
          <w:tcPr>
            <w:tcW w:w="2409" w:type="dxa"/>
          </w:tcPr>
          <w:p w:rsidR="009B1F68" w:rsidRDefault="009B1F68" w:rsidP="00C438E5">
            <w:pPr>
              <w:cnfStyle w:val="000000100000" w:firstRow="0" w:lastRow="0" w:firstColumn="0" w:lastColumn="0" w:oddVBand="0" w:evenVBand="0" w:oddHBand="1" w:evenHBand="0" w:firstRowFirstColumn="0" w:firstRowLastColumn="0" w:lastRowFirstColumn="0" w:lastRowLastColumn="0"/>
            </w:pPr>
          </w:p>
        </w:tc>
        <w:tc>
          <w:tcPr>
            <w:tcW w:w="7371" w:type="dxa"/>
          </w:tcPr>
          <w:p w:rsidR="009B1F68" w:rsidRDefault="009E69AB" w:rsidP="00E5723E">
            <w:pPr>
              <w:cnfStyle w:val="000000100000" w:firstRow="0" w:lastRow="0" w:firstColumn="0" w:lastColumn="0" w:oddVBand="0" w:evenVBand="0" w:oddHBand="1" w:evenHBand="0" w:firstRowFirstColumn="0" w:firstRowLastColumn="0" w:lastRowFirstColumn="0" w:lastRowLastColumn="0"/>
              <w:rPr>
                <w:rStyle w:val="author-a-vz89zvz78zz65zz74zz66zz89znvz76z5xfz90zz82z"/>
              </w:rPr>
            </w:pPr>
            <w:r>
              <w:rPr>
                <w:rStyle w:val="author-a-vz89zvz78zz65zz74zz66zz89znvz76z5xfz90zz82z"/>
              </w:rPr>
              <w:t>Viz přiložený návrh iniciativy Auto*mat, který si osvojuji</w:t>
            </w:r>
          </w:p>
        </w:tc>
      </w:tr>
      <w:tr w:rsidR="009B1F68" w:rsidTr="006653F3">
        <w:tc>
          <w:tcPr>
            <w:cnfStyle w:val="001000000000" w:firstRow="0" w:lastRow="0" w:firstColumn="1" w:lastColumn="0" w:oddVBand="0" w:evenVBand="0" w:oddHBand="0" w:evenHBand="0" w:firstRowFirstColumn="0" w:firstRowLastColumn="0" w:lastRowFirstColumn="0" w:lastRowLastColumn="0"/>
            <w:tcW w:w="392" w:type="dxa"/>
          </w:tcPr>
          <w:p w:rsidR="009B1F68" w:rsidRDefault="009E69AB" w:rsidP="006F3BED">
            <w:r>
              <w:t>8.</w:t>
            </w:r>
          </w:p>
        </w:tc>
        <w:tc>
          <w:tcPr>
            <w:tcW w:w="2268" w:type="dxa"/>
          </w:tcPr>
          <w:p w:rsidR="009B1F68" w:rsidRPr="00C51B32" w:rsidRDefault="009E69AB" w:rsidP="00C438E5">
            <w:pPr>
              <w:cnfStyle w:val="000000000000" w:firstRow="0" w:lastRow="0" w:firstColumn="0" w:lastColumn="0" w:oddVBand="0" w:evenVBand="0" w:oddHBand="0" w:evenHBand="0" w:firstRowFirstColumn="0" w:firstRowLastColumn="0" w:lastRowFirstColumn="0" w:lastRowLastColumn="0"/>
              <w:rPr>
                <w:b/>
              </w:rPr>
            </w:pPr>
            <w:r>
              <w:rPr>
                <w:b/>
              </w:rPr>
              <w:t>„Návrh na uložení úkolu participativního rozpočtu“</w:t>
            </w:r>
          </w:p>
        </w:tc>
        <w:tc>
          <w:tcPr>
            <w:tcW w:w="1843" w:type="dxa"/>
          </w:tcPr>
          <w:p w:rsidR="009B1F68" w:rsidRDefault="009B1F68" w:rsidP="00C438E5">
            <w:pPr>
              <w:jc w:val="right"/>
              <w:cnfStyle w:val="000000000000" w:firstRow="0" w:lastRow="0" w:firstColumn="0" w:lastColumn="0" w:oddVBand="0" w:evenVBand="0" w:oddHBand="0" w:evenHBand="0" w:firstRowFirstColumn="0" w:firstRowLastColumn="0" w:lastRowFirstColumn="0" w:lastRowLastColumn="0"/>
            </w:pPr>
          </w:p>
        </w:tc>
        <w:tc>
          <w:tcPr>
            <w:tcW w:w="2409" w:type="dxa"/>
          </w:tcPr>
          <w:p w:rsidR="009B1F68" w:rsidRDefault="009B1F68" w:rsidP="00C438E5">
            <w:pPr>
              <w:cnfStyle w:val="000000000000" w:firstRow="0" w:lastRow="0" w:firstColumn="0" w:lastColumn="0" w:oddVBand="0" w:evenVBand="0" w:oddHBand="0" w:evenHBand="0" w:firstRowFirstColumn="0" w:firstRowLastColumn="0" w:lastRowFirstColumn="0" w:lastRowLastColumn="0"/>
            </w:pPr>
          </w:p>
        </w:tc>
        <w:tc>
          <w:tcPr>
            <w:tcW w:w="7371" w:type="dxa"/>
          </w:tcPr>
          <w:p w:rsidR="009B1F68" w:rsidRDefault="009E69AB" w:rsidP="00E5723E">
            <w:pPr>
              <w:cnfStyle w:val="000000000000" w:firstRow="0" w:lastRow="0" w:firstColumn="0" w:lastColumn="0" w:oddVBand="0" w:evenVBand="0" w:oddHBand="0" w:evenHBand="0" w:firstRowFirstColumn="0" w:firstRowLastColumn="0" w:lastRowFirstColumn="0" w:lastRowLastColumn="0"/>
              <w:rPr>
                <w:rStyle w:val="author-a-vz89zvz78zz65zz74zz66zz89znvz76z5xfz90zz82z"/>
              </w:rPr>
            </w:pPr>
            <w:r>
              <w:rPr>
                <w:rStyle w:val="author-a-vz89zvz78zz65zz74zz66zz89znvz76z5xfz90zz82z"/>
              </w:rPr>
              <w:t>Viz níže</w:t>
            </w:r>
          </w:p>
        </w:tc>
      </w:tr>
    </w:tbl>
    <w:p w:rsidR="006F3BED" w:rsidRDefault="0059637D" w:rsidP="006F3BED">
      <w:pPr>
        <w:ind w:left="1410" w:hanging="1410"/>
      </w:pPr>
      <w:r>
        <w:t>*) Změnu promítnout do všech odpovídají</w:t>
      </w:r>
      <w:r w:rsidR="009E69AB">
        <w:t>cí</w:t>
      </w:r>
      <w:r>
        <w:t>ch částí rozpočtu.</w:t>
      </w:r>
    </w:p>
    <w:p w:rsidR="00081EC5" w:rsidRDefault="00081EC5" w:rsidP="001B3F86">
      <w:pPr>
        <w:rPr>
          <w:b/>
          <w:u w:val="single"/>
        </w:rPr>
      </w:pPr>
    </w:p>
    <w:p w:rsidR="001B3F86" w:rsidRPr="009E69AB" w:rsidRDefault="009E69AB" w:rsidP="001B3F86">
      <w:pPr>
        <w:rPr>
          <w:rStyle w:val="author-a-vz89zvz78zz65zz74zz66zz89znvz76z5xfz90zz82z"/>
          <w:b/>
          <w:u w:val="single"/>
        </w:rPr>
      </w:pPr>
      <w:r>
        <w:rPr>
          <w:b/>
          <w:u w:val="single"/>
        </w:rPr>
        <w:t xml:space="preserve">8. </w:t>
      </w:r>
      <w:r w:rsidRPr="009E69AB">
        <w:rPr>
          <w:b/>
          <w:u w:val="single"/>
        </w:rPr>
        <w:t xml:space="preserve">Návrh na uložení úkolu </w:t>
      </w:r>
      <w:r w:rsidR="00542161">
        <w:rPr>
          <w:b/>
          <w:u w:val="single"/>
        </w:rPr>
        <w:t xml:space="preserve">Radě </w:t>
      </w:r>
      <w:r>
        <w:rPr>
          <w:b/>
          <w:u w:val="single"/>
        </w:rPr>
        <w:t xml:space="preserve">připravit záměr </w:t>
      </w:r>
      <w:r w:rsidRPr="009E69AB">
        <w:rPr>
          <w:b/>
          <w:u w:val="single"/>
        </w:rPr>
        <w:t>participativního rozpočtu</w:t>
      </w:r>
    </w:p>
    <w:p w:rsidR="001B3F86" w:rsidRDefault="001B3F86" w:rsidP="001B3F86">
      <w:pPr>
        <w:rPr>
          <w:rStyle w:val="author-a-vz89zvz78zz65zz74zz66zz89znvz76z5xfz90zz82z"/>
        </w:rPr>
      </w:pPr>
      <w:r>
        <w:rPr>
          <w:rStyle w:val="author-a-vz89zvz78zz65zz74zz66zz89znvz76z5xfz90zz82z"/>
        </w:rPr>
        <w:t xml:space="preserve">Doplnit za dosavadní body návrhu usnesení </w:t>
      </w:r>
      <w:r w:rsidR="009E69AB">
        <w:rPr>
          <w:rStyle w:val="author-a-vz89zvz78zz65zz74zz66zz89znvz76z5xfz90zz82z"/>
        </w:rPr>
        <w:t xml:space="preserve">k rozpočtu </w:t>
      </w:r>
      <w:proofErr w:type="gramStart"/>
      <w:r>
        <w:rPr>
          <w:rStyle w:val="author-a-vz89zvz78zz65zz74zz66zz89znvz76z5xfz90zz82z"/>
        </w:rPr>
        <w:t>bod V.5, který</w:t>
      </w:r>
      <w:proofErr w:type="gramEnd"/>
      <w:r>
        <w:rPr>
          <w:rStyle w:val="author-a-vz89zvz78zz65zz74zz66zz89znvz76z5xfz90zz82z"/>
        </w:rPr>
        <w:t xml:space="preserve"> zní</w:t>
      </w:r>
    </w:p>
    <w:p w:rsidR="001B3F86" w:rsidRDefault="001B3F86" w:rsidP="001B3F86">
      <w:pPr>
        <w:ind w:left="708"/>
        <w:rPr>
          <w:rStyle w:val="author-a-vz89zvz78zz65zz74zz66zz89znvz76z5xfz90zz82z"/>
        </w:rPr>
      </w:pPr>
      <w:r>
        <w:rPr>
          <w:rStyle w:val="author-a-vz89zvz78zz65zz74zz66zz89znvz76z5xfz90zz82z"/>
        </w:rPr>
        <w:t>[</w:t>
      </w:r>
      <w:r>
        <w:rPr>
          <w:rStyle w:val="author-a-vz89zvz78zz65zz74zz66zz89znvz76z5xfz90zz82z"/>
        </w:rPr>
        <w:t>Zastupitelstvo hl. m. Prahy</w:t>
      </w:r>
      <w:r>
        <w:rPr>
          <w:rStyle w:val="author-a-vz89zvz78zz65zz74zz66zz89znvz76z5xfz90zz82z"/>
        </w:rPr>
        <w:t xml:space="preserve">] </w:t>
      </w:r>
    </w:p>
    <w:p w:rsidR="001B3F86" w:rsidRDefault="001B3F86" w:rsidP="001B3F86">
      <w:pPr>
        <w:ind w:left="708"/>
        <w:rPr>
          <w:rStyle w:val="author-a-vz89zvz78zz65zz74zz66zz89znvz76z5xfz90zz82z"/>
        </w:rPr>
      </w:pPr>
      <w:r>
        <w:rPr>
          <w:rStyle w:val="author-a-vz89zvz78zz65zz74zz66zz89znvz76z5xfz90zz82z"/>
        </w:rPr>
        <w:t>V.</w:t>
      </w:r>
      <w:r>
        <w:rPr>
          <w:rStyle w:val="author-a-vz89zvz78zz65zz74zz66zz89znvz76z5xfz90zz82z"/>
        </w:rPr>
        <w:t xml:space="preserve"> </w:t>
      </w:r>
      <w:r w:rsidRPr="001B3F86">
        <w:rPr>
          <w:rStyle w:val="author-a-vz89zvz78zz65zz74zz66zz89znvz76z5xfz90zz82z"/>
          <w:b/>
        </w:rPr>
        <w:t>ukládá</w:t>
      </w:r>
      <w:r>
        <w:rPr>
          <w:rStyle w:val="author-a-vz89zvz78zz65zz74zz66zz89znvz76z5xfz90zz82z"/>
        </w:rPr>
        <w:t xml:space="preserve"> </w:t>
      </w:r>
    </w:p>
    <w:p w:rsidR="001B3F86" w:rsidRDefault="001B3F86" w:rsidP="009E69AB">
      <w:pPr>
        <w:ind w:left="1416"/>
        <w:rPr>
          <w:rStyle w:val="author-a-vz89zvz78zz65zz74zz66zz89znvz76z5xfz90zz82z"/>
        </w:rPr>
      </w:pPr>
      <w:r>
        <w:rPr>
          <w:rStyle w:val="author-a-vz89zvz78zz65zz74zz66zz89znvz76z5xfz90zz82z"/>
        </w:rPr>
        <w:t xml:space="preserve">Radě hl. m. Prahy zpracovat nahrazení části </w:t>
      </w:r>
      <w:r w:rsidR="009E69AB">
        <w:rPr>
          <w:rStyle w:val="author-a-vz89zvz78zz65zz74zz66zz89znvz76z5xfz90zz82z"/>
        </w:rPr>
        <w:t xml:space="preserve">rozpočtu na </w:t>
      </w:r>
      <w:r>
        <w:rPr>
          <w:rStyle w:val="author-a-vz89zvz78zz65zz74zz66zz89znvz76z5xfz90zz82z"/>
        </w:rPr>
        <w:t>rozdělov</w:t>
      </w:r>
      <w:r w:rsidR="009E69AB">
        <w:rPr>
          <w:rStyle w:val="author-a-vz89zvz78zz65zz74zz66zz89znvz76z5xfz90zz82z"/>
        </w:rPr>
        <w:t>ané</w:t>
      </w:r>
      <w:r>
        <w:rPr>
          <w:rStyle w:val="author-a-vz89zvz78zz65zz74zz66zz89znvz76z5xfz90zz82z"/>
        </w:rPr>
        <w:t xml:space="preserve"> grant</w:t>
      </w:r>
      <w:r w:rsidR="009E69AB">
        <w:rPr>
          <w:rStyle w:val="author-a-vz89zvz78zz65zz74zz66zz89znvz76z5xfz90zz82z"/>
        </w:rPr>
        <w:t>y</w:t>
      </w:r>
      <w:r>
        <w:rPr>
          <w:rStyle w:val="author-a-vz89zvz78zz65zz74zz66zz89znvz76z5xfz90zz82z"/>
        </w:rPr>
        <w:t xml:space="preserve"> participativním rozpočtem, ve kterém se budou lidé přímo podílet na rozdělení části rozpočtových prostředků, a předložit ho zastupitelstvu hl. m. Prahy včetně odpovídajícího návrhu na změnu rozpočtu</w:t>
      </w:r>
      <w:r w:rsidR="009E69AB">
        <w:rPr>
          <w:rStyle w:val="author-a-vz89zvz78zz65zz74zz66zz89znvz76z5xfz90zz82z"/>
        </w:rPr>
        <w:t xml:space="preserve"> na rok 2015</w:t>
      </w:r>
      <w:r>
        <w:rPr>
          <w:rStyle w:val="author-a-vz89zvz78zz65zz74zz66zz89znvz76z5xfz90zz82z"/>
        </w:rPr>
        <w:t>.</w:t>
      </w:r>
    </w:p>
    <w:p w:rsidR="009E69AB" w:rsidRDefault="009E69AB" w:rsidP="009E69AB">
      <w:pPr>
        <w:ind w:left="1416"/>
        <w:jc w:val="right"/>
        <w:rPr>
          <w:rStyle w:val="author-a-vz89zvz78zz65zz74zz66zz89znvz76z5xfz90zz82z"/>
        </w:rPr>
      </w:pPr>
      <w:r>
        <w:rPr>
          <w:rStyle w:val="author-a-vz89zvz78zz65zz74zz66zz89znvz76z5xfz90zz82z"/>
        </w:rPr>
        <w:t>Termín: 1. 8. 2014</w:t>
      </w:r>
    </w:p>
    <w:p w:rsidR="009E69AB" w:rsidRDefault="009E69AB" w:rsidP="009E69AB">
      <w:r w:rsidRPr="009E69AB">
        <w:rPr>
          <w:b/>
        </w:rPr>
        <w:lastRenderedPageBreak/>
        <w:t>Odůvodnění</w:t>
      </w:r>
      <w:r>
        <w:t xml:space="preserve">: </w:t>
      </w:r>
    </w:p>
    <w:p w:rsidR="00081EC5" w:rsidRDefault="009E69AB" w:rsidP="009E69AB">
      <w:r>
        <w:t>Navrhujeme zahájit přípravu participativního rozpočtu hl. m. Prahy. P</w:t>
      </w:r>
      <w:r>
        <w:t xml:space="preserve">articipativní rozpočet zavedlo město Porto </w:t>
      </w:r>
      <w:proofErr w:type="spellStart"/>
      <w:r>
        <w:t>Alegre</w:t>
      </w:r>
      <w:proofErr w:type="spellEnd"/>
      <w:r>
        <w:t xml:space="preserve"> a funguje např. i v New Yorku. Vyberete si neziskový projekt, který vám přijde užitečný, a město na něj přispěje</w:t>
      </w:r>
      <w:r>
        <w:t xml:space="preserve"> (v případě větších projektů ho i provede)</w:t>
      </w:r>
      <w:r>
        <w:t>.</w:t>
      </w:r>
      <w:r>
        <w:t xml:space="preserve"> Předpokládá se transparentní vyúčtování nákladů. S participativním rozpočtem se na nás obrátila občanská iniciativa. Základní problém hlavního města spočívá v tom, že peníze a záměry jsou připravovány odděleně od občanů v grantových řízeních a o alokaci prostředků fakticky rozhodují členové komise (někdy politici, někdy odborníci), nikdy však občané samotní. K participativnímu rozpočtu se přihlásily v programu všechny strany vládnoucí koalice (ANO 2011, ČSSD, Trojkoalice), přičemž výše uvedené navrhovaná snížení rozpočtu by pro participativní rozpočet udělala prostor cca 77 mil. Kč. K dané věci by měla být ustavena komise Rady, která by navrhla vhodné parametry rozpočtu.</w:t>
      </w:r>
    </w:p>
    <w:p w:rsidR="00081EC5" w:rsidRDefault="00081EC5" w:rsidP="009E69AB"/>
    <w:p w:rsidR="00081EC5" w:rsidRDefault="00081EC5" w:rsidP="009E69AB"/>
    <w:p w:rsidR="00081EC5" w:rsidRPr="00081EC5" w:rsidRDefault="00081EC5" w:rsidP="00081EC5">
      <w:pPr>
        <w:rPr>
          <w:b/>
          <w:u w:val="single"/>
        </w:rPr>
      </w:pPr>
      <w:r w:rsidRPr="00081EC5">
        <w:rPr>
          <w:b/>
          <w:u w:val="single"/>
        </w:rPr>
        <w:t xml:space="preserve">7. </w:t>
      </w:r>
      <w:r w:rsidRPr="00081EC5">
        <w:rPr>
          <w:b/>
          <w:u w:val="single"/>
        </w:rPr>
        <w:t>Návrh změn</w:t>
      </w:r>
      <w:r>
        <w:rPr>
          <w:b/>
          <w:u w:val="single"/>
        </w:rPr>
        <w:t>y</w:t>
      </w:r>
      <w:r w:rsidRPr="00081EC5">
        <w:rPr>
          <w:b/>
          <w:u w:val="single"/>
        </w:rPr>
        <w:t xml:space="preserve"> rozpočtu</w:t>
      </w:r>
      <w:r w:rsidRPr="00081EC5">
        <w:rPr>
          <w:b/>
          <w:u w:val="single"/>
        </w:rPr>
        <w:t xml:space="preserve"> </w:t>
      </w:r>
      <w:r w:rsidRPr="00081EC5">
        <w:rPr>
          <w:b/>
          <w:u w:val="single"/>
        </w:rPr>
        <w:t>Iniciativ</w:t>
      </w:r>
      <w:r w:rsidRPr="00081EC5">
        <w:rPr>
          <w:b/>
          <w:u w:val="single"/>
        </w:rPr>
        <w:t>y</w:t>
      </w:r>
      <w:r w:rsidRPr="00081EC5">
        <w:rPr>
          <w:b/>
          <w:u w:val="single"/>
        </w:rPr>
        <w:t xml:space="preserve"> Auto*Mat </w:t>
      </w:r>
      <w:r w:rsidRPr="00081EC5">
        <w:rPr>
          <w:b/>
          <w:u w:val="single"/>
        </w:rPr>
        <w:t>ohledně podchodu Partyzánská</w:t>
      </w:r>
    </w:p>
    <w:p w:rsidR="00081EC5" w:rsidRPr="00081EC5" w:rsidRDefault="00081EC5" w:rsidP="00081EC5">
      <w:pPr>
        <w:rPr>
          <w:i/>
        </w:rPr>
      </w:pPr>
      <w:r w:rsidRPr="00081EC5">
        <w:rPr>
          <w:i/>
        </w:rPr>
        <w:t xml:space="preserve">navrhuje změnit alokaci celkem </w:t>
      </w:r>
      <w:r w:rsidRPr="00081EC5">
        <w:rPr>
          <w:i/>
          <w:color w:val="FF3333"/>
        </w:rPr>
        <w:t>30</w:t>
      </w:r>
      <w:r w:rsidRPr="00081EC5">
        <w:rPr>
          <w:i/>
        </w:rPr>
        <w:t xml:space="preserve"> mil. Kč v investiční části kapitoly 03 - doprava. </w:t>
      </w:r>
    </w:p>
    <w:p w:rsidR="00081EC5" w:rsidRPr="00081EC5" w:rsidRDefault="00081EC5" w:rsidP="00081EC5">
      <w:r>
        <w:rPr>
          <w:b/>
        </w:rPr>
        <w:t xml:space="preserve">Obecné odůvodnění: </w:t>
      </w:r>
      <w:r>
        <w:t>Jedná se o přesun investic v oblasti pěší dopravy tak, aby byly prostředky vynaložené na zlepšování podmínek pro pěší alokovány efektivněji</w:t>
      </w:r>
      <w:r>
        <w:t>,</w:t>
      </w:r>
      <w:r>
        <w:t xml:space="preserve"> než jak je tomu ve stávajícím návrhu. Nejde tedy ani o zvýšení investic v oblasti pěší dopravy, ani o snížení investic v oblasti jiných druhů dopravy. Zvýšení investic v </w:t>
      </w:r>
      <w:r w:rsidRPr="00081EC5">
        <w:t>položkách BESIP a chodníkový program zajistí pozitivní změny pro komfort a bezpečnost pěší dopravy v podstatně větším rozsahu než bylo v aktuálním konceptu rozpočtu. Navržené investice do dvou mimoúrovňových staveb pro pěší, jež jsou drahé a zbytečné, jdou navíc proti filosofii Manuálu tvorby veřejných prostranství.</w:t>
      </w:r>
    </w:p>
    <w:p w:rsidR="00081EC5" w:rsidRPr="00081EC5" w:rsidRDefault="00081EC5" w:rsidP="00081EC5">
      <w:pPr>
        <w:pStyle w:val="Nadpis2"/>
        <w:rPr>
          <w:sz w:val="22"/>
          <w:szCs w:val="22"/>
        </w:rPr>
      </w:pPr>
      <w:bookmarkStart w:id="1" w:name="h.76r3upyxpro2"/>
      <w:bookmarkEnd w:id="1"/>
      <w:r w:rsidRPr="00081EC5">
        <w:rPr>
          <w:sz w:val="22"/>
          <w:szCs w:val="22"/>
        </w:rPr>
        <w:t>Položky se zvýšenou alokací prostředků (mil. Kč)</w:t>
      </w:r>
    </w:p>
    <w:tbl>
      <w:tblPr>
        <w:tblStyle w:val="TableNormal"/>
        <w:tblW w:w="8105" w:type="dxa"/>
        <w:tblInd w:w="-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firstRow="1" w:lastRow="0" w:firstColumn="1" w:lastColumn="0" w:noHBand="0" w:noVBand="1"/>
      </w:tblPr>
      <w:tblGrid>
        <w:gridCol w:w="2157"/>
        <w:gridCol w:w="1139"/>
        <w:gridCol w:w="1468"/>
        <w:gridCol w:w="1035"/>
        <w:gridCol w:w="2306"/>
      </w:tblGrid>
      <w:tr w:rsidR="00081EC5" w:rsidRPr="00081EC5" w:rsidTr="00C438E5">
        <w:tc>
          <w:tcPr>
            <w:tcW w:w="215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rPr>
                <w:sz w:val="22"/>
                <w:szCs w:val="22"/>
              </w:rPr>
            </w:pPr>
            <w:r w:rsidRPr="00081EC5">
              <w:rPr>
                <w:sz w:val="22"/>
                <w:szCs w:val="22"/>
              </w:rPr>
              <w:t>Položka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rPr>
                <w:sz w:val="22"/>
                <w:szCs w:val="22"/>
              </w:rPr>
            </w:pPr>
            <w:r w:rsidRPr="00081EC5">
              <w:rPr>
                <w:sz w:val="22"/>
                <w:szCs w:val="22"/>
              </w:rPr>
              <w:t>Návrh 2015</w:t>
            </w:r>
          </w:p>
        </w:tc>
        <w:tc>
          <w:tcPr>
            <w:tcW w:w="14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jc w:val="center"/>
              <w:rPr>
                <w:sz w:val="22"/>
                <w:szCs w:val="22"/>
              </w:rPr>
            </w:pPr>
            <w:r w:rsidRPr="00081EC5">
              <w:rPr>
                <w:b/>
                <w:sz w:val="22"/>
                <w:szCs w:val="22"/>
              </w:rPr>
              <w:t>Doporučení A*M</w:t>
            </w:r>
          </w:p>
        </w:tc>
        <w:tc>
          <w:tcPr>
            <w:tcW w:w="103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rPr>
                <w:sz w:val="22"/>
                <w:szCs w:val="22"/>
              </w:rPr>
            </w:pPr>
            <w:r w:rsidRPr="00081EC5">
              <w:rPr>
                <w:sz w:val="22"/>
                <w:szCs w:val="22"/>
              </w:rPr>
              <w:t>Změna</w:t>
            </w:r>
          </w:p>
        </w:tc>
        <w:tc>
          <w:tcPr>
            <w:tcW w:w="230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rPr>
                <w:sz w:val="22"/>
                <w:szCs w:val="22"/>
              </w:rPr>
            </w:pPr>
            <w:r w:rsidRPr="00081EC5">
              <w:rPr>
                <w:sz w:val="22"/>
                <w:szCs w:val="22"/>
              </w:rPr>
              <w:t>Poznámka</w:t>
            </w:r>
          </w:p>
        </w:tc>
      </w:tr>
      <w:tr w:rsidR="00081EC5" w:rsidRPr="00081EC5" w:rsidTr="00C438E5">
        <w:tc>
          <w:tcPr>
            <w:tcW w:w="215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rPr>
                <w:sz w:val="22"/>
                <w:szCs w:val="22"/>
              </w:rPr>
            </w:pPr>
            <w:r w:rsidRPr="00081EC5">
              <w:rPr>
                <w:sz w:val="22"/>
                <w:szCs w:val="22"/>
              </w:rPr>
              <w:t xml:space="preserve">BESIP </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jc w:val="center"/>
              <w:rPr>
                <w:sz w:val="22"/>
                <w:szCs w:val="22"/>
              </w:rPr>
            </w:pPr>
            <w:r w:rsidRPr="00081EC5">
              <w:rPr>
                <w:sz w:val="22"/>
                <w:szCs w:val="22"/>
              </w:rPr>
              <w:t>30</w:t>
            </w:r>
          </w:p>
        </w:tc>
        <w:tc>
          <w:tcPr>
            <w:tcW w:w="14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jc w:val="center"/>
              <w:rPr>
                <w:sz w:val="22"/>
                <w:szCs w:val="22"/>
              </w:rPr>
            </w:pPr>
            <w:r w:rsidRPr="00081EC5">
              <w:rPr>
                <w:b/>
                <w:sz w:val="22"/>
                <w:szCs w:val="22"/>
              </w:rPr>
              <w:t>60</w:t>
            </w:r>
          </w:p>
        </w:tc>
        <w:tc>
          <w:tcPr>
            <w:tcW w:w="103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jc w:val="center"/>
              <w:rPr>
                <w:sz w:val="22"/>
                <w:szCs w:val="22"/>
              </w:rPr>
            </w:pPr>
            <w:r w:rsidRPr="00081EC5">
              <w:rPr>
                <w:sz w:val="22"/>
                <w:szCs w:val="22"/>
              </w:rPr>
              <w:t>+30</w:t>
            </w:r>
          </w:p>
        </w:tc>
        <w:tc>
          <w:tcPr>
            <w:tcW w:w="230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widowControl w:val="0"/>
              <w:spacing w:line="240" w:lineRule="auto"/>
              <w:rPr>
                <w:sz w:val="22"/>
                <w:szCs w:val="22"/>
              </w:rPr>
            </w:pPr>
            <w:r w:rsidRPr="00081EC5">
              <w:rPr>
                <w:sz w:val="22"/>
                <w:szCs w:val="22"/>
              </w:rPr>
              <w:t>Jsou připravené akce</w:t>
            </w:r>
          </w:p>
        </w:tc>
      </w:tr>
    </w:tbl>
    <w:p w:rsidR="00081EC5" w:rsidRPr="00081EC5" w:rsidRDefault="00081EC5" w:rsidP="00081EC5">
      <w:pPr>
        <w:pStyle w:val="Nadpis2"/>
        <w:rPr>
          <w:sz w:val="22"/>
          <w:szCs w:val="22"/>
        </w:rPr>
      </w:pPr>
      <w:bookmarkStart w:id="2" w:name="h.lm44ilts8hrc"/>
      <w:bookmarkEnd w:id="2"/>
      <w:r w:rsidRPr="00081EC5">
        <w:rPr>
          <w:sz w:val="22"/>
          <w:szCs w:val="22"/>
        </w:rPr>
        <w:t>Položky se sníženou alokací prostředků</w:t>
      </w:r>
    </w:p>
    <w:p w:rsidR="00081EC5" w:rsidRPr="00081EC5" w:rsidRDefault="00081EC5" w:rsidP="00081EC5">
      <w:r w:rsidRPr="00081EC5">
        <w:t>(mil. Kč)</w:t>
      </w:r>
    </w:p>
    <w:tbl>
      <w:tblPr>
        <w:tblStyle w:val="TableNormal"/>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firstRow="1" w:lastRow="0" w:firstColumn="1" w:lastColumn="0" w:noHBand="0" w:noVBand="1"/>
      </w:tblPr>
      <w:tblGrid>
        <w:gridCol w:w="1934"/>
        <w:gridCol w:w="1222"/>
        <w:gridCol w:w="1019"/>
        <w:gridCol w:w="832"/>
        <w:gridCol w:w="1393"/>
        <w:gridCol w:w="947"/>
        <w:gridCol w:w="2013"/>
      </w:tblGrid>
      <w:tr w:rsidR="00081EC5" w:rsidRPr="00081EC5" w:rsidTr="00C438E5">
        <w:tc>
          <w:tcPr>
            <w:tcW w:w="213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lastRenderedPageBreak/>
              <w:t>Položka</w:t>
            </w:r>
          </w:p>
        </w:tc>
        <w:tc>
          <w:tcPr>
            <w:tcW w:w="98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Vyčerpáno 2014</w:t>
            </w:r>
          </w:p>
        </w:tc>
        <w:tc>
          <w:tcPr>
            <w:tcW w:w="10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Celkové náklady</w:t>
            </w:r>
          </w:p>
        </w:tc>
        <w:tc>
          <w:tcPr>
            <w:tcW w:w="85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Návrh 2015</w:t>
            </w:r>
          </w:p>
        </w:tc>
        <w:tc>
          <w:tcPr>
            <w:tcW w:w="105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jc w:val="center"/>
              <w:rPr>
                <w:sz w:val="22"/>
                <w:szCs w:val="22"/>
              </w:rPr>
            </w:pPr>
            <w:r w:rsidRPr="00081EC5">
              <w:rPr>
                <w:b/>
                <w:sz w:val="22"/>
                <w:szCs w:val="22"/>
              </w:rPr>
              <w:t>Doporučení A*M</w:t>
            </w:r>
          </w:p>
        </w:tc>
        <w:tc>
          <w:tcPr>
            <w:tcW w:w="98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Změna</w:t>
            </w:r>
          </w:p>
        </w:tc>
        <w:tc>
          <w:tcPr>
            <w:tcW w:w="230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Poznámka</w:t>
            </w:r>
          </w:p>
        </w:tc>
      </w:tr>
      <w:tr w:rsidR="00081EC5" w:rsidRPr="00081EC5" w:rsidTr="00C438E5">
        <w:tc>
          <w:tcPr>
            <w:tcW w:w="213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Podchody v ul. Partyzánská</w:t>
            </w:r>
          </w:p>
        </w:tc>
        <w:tc>
          <w:tcPr>
            <w:tcW w:w="98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0</w:t>
            </w:r>
          </w:p>
        </w:tc>
        <w:tc>
          <w:tcPr>
            <w:tcW w:w="103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220</w:t>
            </w:r>
          </w:p>
        </w:tc>
        <w:tc>
          <w:tcPr>
            <w:tcW w:w="85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30</w:t>
            </w:r>
          </w:p>
        </w:tc>
        <w:tc>
          <w:tcPr>
            <w:tcW w:w="105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b/>
                <w:sz w:val="22"/>
                <w:szCs w:val="22"/>
              </w:rPr>
              <w:t>0</w:t>
            </w:r>
          </w:p>
        </w:tc>
        <w:tc>
          <w:tcPr>
            <w:tcW w:w="98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rPr>
              <w:t>- 30</w:t>
            </w:r>
          </w:p>
        </w:tc>
        <w:tc>
          <w:tcPr>
            <w:tcW w:w="230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81EC5" w:rsidRPr="00081EC5" w:rsidRDefault="00081EC5" w:rsidP="00C438E5">
            <w:pPr>
              <w:spacing w:line="240" w:lineRule="auto"/>
              <w:rPr>
                <w:sz w:val="22"/>
                <w:szCs w:val="22"/>
              </w:rPr>
            </w:pPr>
            <w:r w:rsidRPr="00081EC5">
              <w:rPr>
                <w:sz w:val="22"/>
                <w:szCs w:val="22"/>
                <w:highlight w:val="white"/>
              </w:rPr>
              <w:t>Záměr zcela zruši</w:t>
            </w:r>
            <w:r>
              <w:rPr>
                <w:sz w:val="22"/>
                <w:szCs w:val="22"/>
              </w:rPr>
              <w:t>t</w:t>
            </w:r>
          </w:p>
        </w:tc>
      </w:tr>
    </w:tbl>
    <w:p w:rsidR="00081EC5" w:rsidRPr="00081EC5" w:rsidRDefault="00081EC5" w:rsidP="00081EC5">
      <w:pPr>
        <w:pStyle w:val="Nadpis2"/>
        <w:rPr>
          <w:sz w:val="22"/>
          <w:szCs w:val="22"/>
        </w:rPr>
      </w:pPr>
      <w:bookmarkStart w:id="3" w:name="h.yerprjmabzz0"/>
      <w:bookmarkEnd w:id="3"/>
      <w:r w:rsidRPr="00081EC5">
        <w:rPr>
          <w:sz w:val="22"/>
          <w:szCs w:val="22"/>
        </w:rPr>
        <w:t>Zdůvodnění konkrétních položek</w:t>
      </w:r>
    </w:p>
    <w:p w:rsidR="00081EC5" w:rsidRPr="00081EC5" w:rsidRDefault="00081EC5" w:rsidP="00081EC5">
      <w:r w:rsidRPr="00081EC5">
        <w:rPr>
          <w:b/>
        </w:rPr>
        <w:t>BESIP - navýšení</w:t>
      </w:r>
    </w:p>
    <w:p w:rsidR="00081EC5" w:rsidRPr="00081EC5" w:rsidRDefault="00081EC5" w:rsidP="00081EC5">
      <w:pPr>
        <w:keepNext/>
        <w:numPr>
          <w:ilvl w:val="0"/>
          <w:numId w:val="1"/>
        </w:numPr>
        <w:suppressAutoHyphens/>
        <w:spacing w:after="0"/>
        <w:ind w:hanging="359"/>
        <w:contextualSpacing/>
      </w:pPr>
      <w:r w:rsidRPr="00081EC5">
        <w:rPr>
          <w:highlight w:val="white"/>
        </w:rPr>
        <w:t xml:space="preserve">Komisí BESIP dlouhodobě připravovaný zásobník akcí obsahuje přes 90 záměrů, ale k realizaci na rok 2015 se připravuje méně než deset. </w:t>
      </w:r>
    </w:p>
    <w:p w:rsidR="00081EC5" w:rsidRPr="00081EC5" w:rsidRDefault="00081EC5" w:rsidP="00081EC5">
      <w:pPr>
        <w:keepNext/>
        <w:numPr>
          <w:ilvl w:val="0"/>
          <w:numId w:val="1"/>
        </w:numPr>
        <w:suppressAutoHyphens/>
        <w:spacing w:after="0"/>
        <w:ind w:hanging="359"/>
        <w:contextualSpacing/>
      </w:pPr>
      <w:r w:rsidRPr="00081EC5">
        <w:t xml:space="preserve">Realizace opatření navržených k realizaci z kapitoly BESIP pro zvýšení bezpečnosti pěších se zpravidla léta odkládá vlivem dlouhodobého podfinancování kapitoly. </w:t>
      </w:r>
    </w:p>
    <w:p w:rsidR="00081EC5" w:rsidRPr="00081EC5" w:rsidRDefault="00081EC5" w:rsidP="00081EC5">
      <w:pPr>
        <w:keepNext/>
        <w:numPr>
          <w:ilvl w:val="0"/>
          <w:numId w:val="1"/>
        </w:numPr>
        <w:suppressAutoHyphens/>
        <w:spacing w:after="0"/>
        <w:ind w:hanging="359"/>
        <w:contextualSpacing/>
      </w:pPr>
      <w:r w:rsidRPr="00081EC5">
        <w:rPr>
          <w:highlight w:val="white"/>
        </w:rPr>
        <w:t xml:space="preserve">Řada akcí vychází z dopravních studií provedených v rámci projektu </w:t>
      </w:r>
      <w:r w:rsidRPr="00081EC5">
        <w:rPr>
          <w:i/>
          <w:highlight w:val="white"/>
        </w:rPr>
        <w:t>Bezpečné cesty do školy</w:t>
      </w:r>
      <w:r w:rsidRPr="00081EC5">
        <w:rPr>
          <w:highlight w:val="white"/>
        </w:rPr>
        <w:t xml:space="preserve">, jejich realizace ale zpravidla trvá tak dlouho, že se žáci, kteří problémová místa identifikovali, se již realizace řešení na škole nedočkají. </w:t>
      </w:r>
    </w:p>
    <w:p w:rsidR="00081EC5" w:rsidRPr="00081EC5" w:rsidRDefault="00081EC5" w:rsidP="00081EC5">
      <w:r w:rsidRPr="00081EC5">
        <w:rPr>
          <w:b/>
        </w:rPr>
        <w:t>Podchody v ul. Partyzánská - zrušení záměru</w:t>
      </w:r>
    </w:p>
    <w:p w:rsidR="00081EC5" w:rsidRPr="00081EC5" w:rsidRDefault="00081EC5" w:rsidP="00081EC5">
      <w:pPr>
        <w:keepNext/>
        <w:numPr>
          <w:ilvl w:val="0"/>
          <w:numId w:val="2"/>
        </w:numPr>
        <w:suppressAutoHyphens/>
        <w:spacing w:after="0"/>
        <w:ind w:hanging="359"/>
        <w:contextualSpacing/>
        <w:rPr>
          <w:highlight w:val="white"/>
        </w:rPr>
      </w:pPr>
      <w:r w:rsidRPr="00081EC5">
        <w:rPr>
          <w:highlight w:val="white"/>
        </w:rPr>
        <w:t>V současnosti je již pěší propojení pod železniční tratí v ulici Partyzánská zcela uspokojivě vyřešeno.</w:t>
      </w:r>
    </w:p>
    <w:p w:rsidR="00081EC5" w:rsidRPr="00081EC5" w:rsidRDefault="00081EC5" w:rsidP="00081EC5">
      <w:pPr>
        <w:keepNext/>
        <w:numPr>
          <w:ilvl w:val="0"/>
          <w:numId w:val="2"/>
        </w:numPr>
        <w:suppressAutoHyphens/>
        <w:spacing w:after="0"/>
        <w:ind w:hanging="359"/>
        <w:contextualSpacing/>
        <w:rPr>
          <w:highlight w:val="white"/>
        </w:rPr>
      </w:pPr>
      <w:r w:rsidRPr="00081EC5">
        <w:rPr>
          <w:highlight w:val="white"/>
        </w:rPr>
        <w:t xml:space="preserve">Realizace podchodů by </w:t>
      </w:r>
      <w:proofErr w:type="gramStart"/>
      <w:r w:rsidRPr="00081EC5">
        <w:rPr>
          <w:highlight w:val="white"/>
        </w:rPr>
        <w:t>umožnila</w:t>
      </w:r>
      <w:proofErr w:type="gramEnd"/>
      <w:r w:rsidRPr="00081EC5">
        <w:rPr>
          <w:highlight w:val="white"/>
        </w:rPr>
        <w:t xml:space="preserve"> zřídit v </w:t>
      </w:r>
      <w:proofErr w:type="gramStart"/>
      <w:r w:rsidRPr="00081EC5">
        <w:rPr>
          <w:highlight w:val="white"/>
        </w:rPr>
        <w:t>podjedu</w:t>
      </w:r>
      <w:proofErr w:type="gramEnd"/>
      <w:r w:rsidRPr="00081EC5">
        <w:rPr>
          <w:highlight w:val="white"/>
        </w:rPr>
        <w:t xml:space="preserve"> železniční trati 2+2 pruhy pro auta, což je ale zbytečné: pro kapacitu ulice je v obou směrech zcela limitující navazující křižovatka s ul. Vrbenského. </w:t>
      </w:r>
    </w:p>
    <w:p w:rsidR="00081EC5" w:rsidRPr="00081EC5" w:rsidRDefault="00081EC5" w:rsidP="00081EC5">
      <w:pPr>
        <w:keepNext/>
        <w:numPr>
          <w:ilvl w:val="0"/>
          <w:numId w:val="2"/>
        </w:numPr>
        <w:suppressAutoHyphens/>
        <w:spacing w:after="0"/>
        <w:ind w:hanging="359"/>
        <w:contextualSpacing/>
      </w:pPr>
      <w:r w:rsidRPr="00081EC5">
        <w:rPr>
          <w:highlight w:val="white"/>
        </w:rPr>
        <w:t>Zachování stávajícího stavu nebude oproti záměru znamenat snížení komfortu pro motoristy ani chodce</w:t>
      </w:r>
    </w:p>
    <w:p w:rsidR="009E69AB" w:rsidRDefault="009E69AB" w:rsidP="009E69AB"/>
    <w:sectPr w:rsidR="009E69AB" w:rsidSect="006653F3">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6D1" w:rsidRDefault="003A06D1" w:rsidP="009E69AB">
      <w:pPr>
        <w:spacing w:after="0" w:line="240" w:lineRule="auto"/>
      </w:pPr>
      <w:r>
        <w:separator/>
      </w:r>
    </w:p>
  </w:endnote>
  <w:endnote w:type="continuationSeparator" w:id="0">
    <w:p w:rsidR="003A06D1" w:rsidRDefault="003A06D1" w:rsidP="009E6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245307"/>
      <w:docPartObj>
        <w:docPartGallery w:val="Page Numbers (Bottom of Page)"/>
        <w:docPartUnique/>
      </w:docPartObj>
    </w:sdtPr>
    <w:sdtContent>
      <w:p w:rsidR="009E69AB" w:rsidRDefault="009E69AB">
        <w:pPr>
          <w:pStyle w:val="Zpat"/>
        </w:pPr>
        <w:r>
          <w:fldChar w:fldCharType="begin"/>
        </w:r>
        <w:r>
          <w:instrText>PAGE   \* MERGEFORMAT</w:instrText>
        </w:r>
        <w:r>
          <w:fldChar w:fldCharType="separate"/>
        </w:r>
        <w:r w:rsidR="00963AAE">
          <w:rPr>
            <w:noProof/>
          </w:rPr>
          <w:t>1</w:t>
        </w:r>
        <w:r>
          <w:fldChar w:fldCharType="end"/>
        </w:r>
      </w:p>
    </w:sdtContent>
  </w:sdt>
  <w:p w:rsidR="009E69AB" w:rsidRDefault="009E69A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6D1" w:rsidRDefault="003A06D1" w:rsidP="009E69AB">
      <w:pPr>
        <w:spacing w:after="0" w:line="240" w:lineRule="auto"/>
      </w:pPr>
      <w:r>
        <w:separator/>
      </w:r>
    </w:p>
  </w:footnote>
  <w:footnote w:type="continuationSeparator" w:id="0">
    <w:p w:rsidR="003A06D1" w:rsidRDefault="003A06D1" w:rsidP="009E6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3190A"/>
    <w:multiLevelType w:val="multilevel"/>
    <w:tmpl w:val="9110A4F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57FD594A"/>
    <w:multiLevelType w:val="multilevel"/>
    <w:tmpl w:val="4B36DB6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0A"/>
    <w:rsid w:val="00081EC5"/>
    <w:rsid w:val="001B3F86"/>
    <w:rsid w:val="001C32E9"/>
    <w:rsid w:val="001C4A6A"/>
    <w:rsid w:val="00282A97"/>
    <w:rsid w:val="003A06D1"/>
    <w:rsid w:val="00542161"/>
    <w:rsid w:val="00573B4A"/>
    <w:rsid w:val="0059637D"/>
    <w:rsid w:val="006653F3"/>
    <w:rsid w:val="0069560A"/>
    <w:rsid w:val="006F3BED"/>
    <w:rsid w:val="00963AAE"/>
    <w:rsid w:val="009B1F68"/>
    <w:rsid w:val="009E69AB"/>
    <w:rsid w:val="00C51B32"/>
    <w:rsid w:val="00E5723E"/>
    <w:rsid w:val="00E6678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rsid w:val="00081EC5"/>
    <w:pPr>
      <w:keepNext/>
      <w:keepLines/>
      <w:suppressAutoHyphens/>
      <w:spacing w:before="200" w:after="0" w:line="240" w:lineRule="auto"/>
      <w:contextualSpacing/>
      <w:outlineLvl w:val="1"/>
    </w:pPr>
    <w:rPr>
      <w:rFonts w:ascii="Trebuchet MS" w:eastAsia="Trebuchet MS" w:hAnsi="Trebuchet MS" w:cs="Trebuchet MS"/>
      <w:b/>
      <w:color w:val="000000"/>
      <w:sz w:val="26"/>
      <w:szCs w:val="20"/>
      <w:lang w:eastAsia="zh-CN" w:bidi="hi-I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6F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
    <w:name w:val="Light Shading"/>
    <w:basedOn w:val="Normlntabulka"/>
    <w:uiPriority w:val="60"/>
    <w:rsid w:val="006F3B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zmezer">
    <w:name w:val="No Spacing"/>
    <w:uiPriority w:val="1"/>
    <w:qFormat/>
    <w:rsid w:val="006F3BED"/>
    <w:pPr>
      <w:spacing w:after="0" w:line="240" w:lineRule="auto"/>
    </w:pPr>
  </w:style>
  <w:style w:type="character" w:customStyle="1" w:styleId="author-a-vz89zvz78zz65zz74zz66zz89znvz76z5xfz90zz82z">
    <w:name w:val="author-a-vz89zvz78zz65zz74zz66zz89znvz76z5xfz90zz82z"/>
    <w:basedOn w:val="Standardnpsmoodstavce"/>
    <w:rsid w:val="001B3F86"/>
  </w:style>
  <w:style w:type="paragraph" w:styleId="Zhlav">
    <w:name w:val="header"/>
    <w:basedOn w:val="Normln"/>
    <w:link w:val="ZhlavChar"/>
    <w:uiPriority w:val="99"/>
    <w:unhideWhenUsed/>
    <w:rsid w:val="009E69A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E69AB"/>
  </w:style>
  <w:style w:type="paragraph" w:styleId="Zpat">
    <w:name w:val="footer"/>
    <w:basedOn w:val="Normln"/>
    <w:link w:val="ZpatChar"/>
    <w:uiPriority w:val="99"/>
    <w:unhideWhenUsed/>
    <w:rsid w:val="009E69AB"/>
    <w:pPr>
      <w:tabs>
        <w:tab w:val="center" w:pos="4536"/>
        <w:tab w:val="right" w:pos="9072"/>
      </w:tabs>
      <w:spacing w:after="0" w:line="240" w:lineRule="auto"/>
    </w:pPr>
  </w:style>
  <w:style w:type="character" w:customStyle="1" w:styleId="ZpatChar">
    <w:name w:val="Zápatí Char"/>
    <w:basedOn w:val="Standardnpsmoodstavce"/>
    <w:link w:val="Zpat"/>
    <w:uiPriority w:val="99"/>
    <w:rsid w:val="009E69AB"/>
  </w:style>
  <w:style w:type="character" w:customStyle="1" w:styleId="Nadpis2Char">
    <w:name w:val="Nadpis 2 Char"/>
    <w:basedOn w:val="Standardnpsmoodstavce"/>
    <w:link w:val="Nadpis2"/>
    <w:rsid w:val="00081EC5"/>
    <w:rPr>
      <w:rFonts w:ascii="Trebuchet MS" w:eastAsia="Trebuchet MS" w:hAnsi="Trebuchet MS" w:cs="Trebuchet MS"/>
      <w:b/>
      <w:color w:val="000000"/>
      <w:sz w:val="26"/>
      <w:szCs w:val="20"/>
      <w:lang w:eastAsia="zh-CN" w:bidi="hi-IN"/>
    </w:rPr>
  </w:style>
  <w:style w:type="table" w:customStyle="1" w:styleId="TableNormal">
    <w:name w:val="Table Normal"/>
    <w:rsid w:val="00081EC5"/>
    <w:pPr>
      <w:spacing w:after="0"/>
    </w:pPr>
    <w:rPr>
      <w:rFonts w:ascii="Arial" w:eastAsia="Arial" w:hAnsi="Arial" w:cs="Arial"/>
      <w:color w:val="000000"/>
      <w:sz w:val="20"/>
      <w:szCs w:val="20"/>
      <w:lang w:eastAsia="zh-CN" w:bidi="hi-IN"/>
    </w:rPr>
    <w:tblPr>
      <w:tblCellMar>
        <w:top w:w="0" w:type="dxa"/>
        <w:left w:w="0" w:type="dxa"/>
        <w:bottom w:w="0" w:type="dxa"/>
        <w:right w:w="0" w:type="dxa"/>
      </w:tblCellMar>
    </w:tblPr>
  </w:style>
  <w:style w:type="paragraph" w:styleId="Textbubliny">
    <w:name w:val="Balloon Text"/>
    <w:basedOn w:val="Normln"/>
    <w:link w:val="TextbublinyChar"/>
    <w:uiPriority w:val="99"/>
    <w:semiHidden/>
    <w:unhideWhenUsed/>
    <w:rsid w:val="00081EC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81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rsid w:val="00081EC5"/>
    <w:pPr>
      <w:keepNext/>
      <w:keepLines/>
      <w:suppressAutoHyphens/>
      <w:spacing w:before="200" w:after="0" w:line="240" w:lineRule="auto"/>
      <w:contextualSpacing/>
      <w:outlineLvl w:val="1"/>
    </w:pPr>
    <w:rPr>
      <w:rFonts w:ascii="Trebuchet MS" w:eastAsia="Trebuchet MS" w:hAnsi="Trebuchet MS" w:cs="Trebuchet MS"/>
      <w:b/>
      <w:color w:val="000000"/>
      <w:sz w:val="26"/>
      <w:szCs w:val="20"/>
      <w:lang w:eastAsia="zh-CN" w:bidi="hi-I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6F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
    <w:name w:val="Light Shading"/>
    <w:basedOn w:val="Normlntabulka"/>
    <w:uiPriority w:val="60"/>
    <w:rsid w:val="006F3B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zmezer">
    <w:name w:val="No Spacing"/>
    <w:uiPriority w:val="1"/>
    <w:qFormat/>
    <w:rsid w:val="006F3BED"/>
    <w:pPr>
      <w:spacing w:after="0" w:line="240" w:lineRule="auto"/>
    </w:pPr>
  </w:style>
  <w:style w:type="character" w:customStyle="1" w:styleId="author-a-vz89zvz78zz65zz74zz66zz89znvz76z5xfz90zz82z">
    <w:name w:val="author-a-vz89zvz78zz65zz74zz66zz89znvz76z5xfz90zz82z"/>
    <w:basedOn w:val="Standardnpsmoodstavce"/>
    <w:rsid w:val="001B3F86"/>
  </w:style>
  <w:style w:type="paragraph" w:styleId="Zhlav">
    <w:name w:val="header"/>
    <w:basedOn w:val="Normln"/>
    <w:link w:val="ZhlavChar"/>
    <w:uiPriority w:val="99"/>
    <w:unhideWhenUsed/>
    <w:rsid w:val="009E69A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E69AB"/>
  </w:style>
  <w:style w:type="paragraph" w:styleId="Zpat">
    <w:name w:val="footer"/>
    <w:basedOn w:val="Normln"/>
    <w:link w:val="ZpatChar"/>
    <w:uiPriority w:val="99"/>
    <w:unhideWhenUsed/>
    <w:rsid w:val="009E69AB"/>
    <w:pPr>
      <w:tabs>
        <w:tab w:val="center" w:pos="4536"/>
        <w:tab w:val="right" w:pos="9072"/>
      </w:tabs>
      <w:spacing w:after="0" w:line="240" w:lineRule="auto"/>
    </w:pPr>
  </w:style>
  <w:style w:type="character" w:customStyle="1" w:styleId="ZpatChar">
    <w:name w:val="Zápatí Char"/>
    <w:basedOn w:val="Standardnpsmoodstavce"/>
    <w:link w:val="Zpat"/>
    <w:uiPriority w:val="99"/>
    <w:rsid w:val="009E69AB"/>
  </w:style>
  <w:style w:type="character" w:customStyle="1" w:styleId="Nadpis2Char">
    <w:name w:val="Nadpis 2 Char"/>
    <w:basedOn w:val="Standardnpsmoodstavce"/>
    <w:link w:val="Nadpis2"/>
    <w:rsid w:val="00081EC5"/>
    <w:rPr>
      <w:rFonts w:ascii="Trebuchet MS" w:eastAsia="Trebuchet MS" w:hAnsi="Trebuchet MS" w:cs="Trebuchet MS"/>
      <w:b/>
      <w:color w:val="000000"/>
      <w:sz w:val="26"/>
      <w:szCs w:val="20"/>
      <w:lang w:eastAsia="zh-CN" w:bidi="hi-IN"/>
    </w:rPr>
  </w:style>
  <w:style w:type="table" w:customStyle="1" w:styleId="TableNormal">
    <w:name w:val="Table Normal"/>
    <w:rsid w:val="00081EC5"/>
    <w:pPr>
      <w:spacing w:after="0"/>
    </w:pPr>
    <w:rPr>
      <w:rFonts w:ascii="Arial" w:eastAsia="Arial" w:hAnsi="Arial" w:cs="Arial"/>
      <w:color w:val="000000"/>
      <w:sz w:val="20"/>
      <w:szCs w:val="20"/>
      <w:lang w:eastAsia="zh-CN" w:bidi="hi-IN"/>
    </w:rPr>
    <w:tblPr>
      <w:tblCellMar>
        <w:top w:w="0" w:type="dxa"/>
        <w:left w:w="0" w:type="dxa"/>
        <w:bottom w:w="0" w:type="dxa"/>
        <w:right w:w="0" w:type="dxa"/>
      </w:tblCellMar>
    </w:tblPr>
  </w:style>
  <w:style w:type="paragraph" w:styleId="Textbubliny">
    <w:name w:val="Balloon Text"/>
    <w:basedOn w:val="Normln"/>
    <w:link w:val="TextbublinyChar"/>
    <w:uiPriority w:val="99"/>
    <w:semiHidden/>
    <w:unhideWhenUsed/>
    <w:rsid w:val="00081EC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81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4641">
      <w:bodyDiv w:val="1"/>
      <w:marLeft w:val="0"/>
      <w:marRight w:val="0"/>
      <w:marTop w:val="0"/>
      <w:marBottom w:val="0"/>
      <w:divBdr>
        <w:top w:val="none" w:sz="0" w:space="0" w:color="auto"/>
        <w:left w:val="none" w:sz="0" w:space="0" w:color="auto"/>
        <w:bottom w:val="none" w:sz="0" w:space="0" w:color="auto"/>
        <w:right w:val="none" w:sz="0" w:space="0" w:color="auto"/>
      </w:divBdr>
      <w:divsChild>
        <w:div w:id="1913852612">
          <w:marLeft w:val="0"/>
          <w:marRight w:val="0"/>
          <w:marTop w:val="0"/>
          <w:marBottom w:val="0"/>
          <w:divBdr>
            <w:top w:val="none" w:sz="0" w:space="0" w:color="auto"/>
            <w:left w:val="none" w:sz="0" w:space="0" w:color="auto"/>
            <w:bottom w:val="none" w:sz="0" w:space="0" w:color="auto"/>
            <w:right w:val="none" w:sz="0" w:space="0" w:color="auto"/>
          </w:divBdr>
        </w:div>
      </w:divsChild>
    </w:div>
    <w:div w:id="532772476">
      <w:bodyDiv w:val="1"/>
      <w:marLeft w:val="0"/>
      <w:marRight w:val="0"/>
      <w:marTop w:val="0"/>
      <w:marBottom w:val="0"/>
      <w:divBdr>
        <w:top w:val="none" w:sz="0" w:space="0" w:color="auto"/>
        <w:left w:val="none" w:sz="0" w:space="0" w:color="auto"/>
        <w:bottom w:val="none" w:sz="0" w:space="0" w:color="auto"/>
        <w:right w:val="none" w:sz="0" w:space="0" w:color="auto"/>
      </w:divBdr>
      <w:divsChild>
        <w:div w:id="706027279">
          <w:marLeft w:val="0"/>
          <w:marRight w:val="0"/>
          <w:marTop w:val="0"/>
          <w:marBottom w:val="0"/>
          <w:divBdr>
            <w:top w:val="none" w:sz="0" w:space="0" w:color="auto"/>
            <w:left w:val="none" w:sz="0" w:space="0" w:color="auto"/>
            <w:bottom w:val="none" w:sz="0" w:space="0" w:color="auto"/>
            <w:right w:val="none" w:sz="0" w:space="0" w:color="auto"/>
          </w:divBdr>
        </w:div>
      </w:divsChild>
    </w:div>
    <w:div w:id="1768773289">
      <w:bodyDiv w:val="1"/>
      <w:marLeft w:val="0"/>
      <w:marRight w:val="0"/>
      <w:marTop w:val="0"/>
      <w:marBottom w:val="0"/>
      <w:divBdr>
        <w:top w:val="none" w:sz="0" w:space="0" w:color="auto"/>
        <w:left w:val="none" w:sz="0" w:space="0" w:color="auto"/>
        <w:bottom w:val="none" w:sz="0" w:space="0" w:color="auto"/>
        <w:right w:val="none" w:sz="0" w:space="0" w:color="auto"/>
      </w:divBdr>
      <w:divsChild>
        <w:div w:id="2144955776">
          <w:marLeft w:val="0"/>
          <w:marRight w:val="0"/>
          <w:marTop w:val="0"/>
          <w:marBottom w:val="0"/>
          <w:divBdr>
            <w:top w:val="none" w:sz="0" w:space="0" w:color="auto"/>
            <w:left w:val="none" w:sz="0" w:space="0" w:color="auto"/>
            <w:bottom w:val="none" w:sz="0" w:space="0" w:color="auto"/>
            <w:right w:val="none" w:sz="0" w:space="0" w:color="auto"/>
          </w:divBdr>
        </w:div>
      </w:divsChild>
    </w:div>
    <w:div w:id="1920671161">
      <w:bodyDiv w:val="1"/>
      <w:marLeft w:val="0"/>
      <w:marRight w:val="0"/>
      <w:marTop w:val="0"/>
      <w:marBottom w:val="0"/>
      <w:divBdr>
        <w:top w:val="none" w:sz="0" w:space="0" w:color="auto"/>
        <w:left w:val="none" w:sz="0" w:space="0" w:color="auto"/>
        <w:bottom w:val="none" w:sz="0" w:space="0" w:color="auto"/>
        <w:right w:val="none" w:sz="0" w:space="0" w:color="auto"/>
      </w:divBdr>
      <w:divsChild>
        <w:div w:id="12551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1635</Words>
  <Characters>9653</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
    </vt:vector>
  </TitlesOfParts>
  <Company>MHMP</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Michálek Jakub (ZHMP)</dc:creator>
  <cp:keywords/>
  <dc:description/>
  <cp:lastModifiedBy>Michálek Jakub (ZHMP)</cp:lastModifiedBy>
  <cp:revision>5</cp:revision>
  <cp:lastPrinted>2015-02-16T12:49:00Z</cp:lastPrinted>
  <dcterms:created xsi:type="dcterms:W3CDTF">2015-02-16T10:50:00Z</dcterms:created>
  <dcterms:modified xsi:type="dcterms:W3CDTF">2015-02-16T15:58:00Z</dcterms:modified>
</cp:coreProperties>
</file>