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59" w:before="0" w:after="160"/>
        <w:rPr>
          <w:color w:val="000000"/>
          <w:sz w:val="22"/>
          <w:szCs w:val="22"/>
        </w:rPr>
      </w:pPr>
      <w:r>
        <w:rPr>
          <w:b/>
          <w:color w:val="000000"/>
          <w:sz w:val="22"/>
          <w:szCs w:val="22"/>
        </w:rPr>
        <w:t>Zápis z konzultací s odborníky VÚMOP, České technologické platformy pro EZ, Nadace pro Půdu, PRO-BIO LIGY</w:t>
      </w:r>
    </w:p>
    <w:p>
      <w:pPr>
        <w:pStyle w:val="Normal"/>
        <w:pBdr/>
        <w:spacing w:lineRule="auto" w:line="259" w:before="0" w:after="160"/>
        <w:rPr>
          <w:color w:val="000000"/>
          <w:sz w:val="22"/>
          <w:szCs w:val="22"/>
        </w:rPr>
      </w:pPr>
      <w:r>
        <w:rPr>
          <w:color w:val="000000"/>
          <w:sz w:val="22"/>
          <w:szCs w:val="22"/>
        </w:rPr>
      </w:r>
    </w:p>
    <w:p>
      <w:pPr>
        <w:pStyle w:val="Normal"/>
        <w:pBdr/>
        <w:spacing w:lineRule="auto" w:line="259" w:before="0" w:after="160"/>
        <w:jc w:val="center"/>
        <w:rPr>
          <w:color w:val="000000"/>
          <w:sz w:val="22"/>
          <w:szCs w:val="22"/>
        </w:rPr>
      </w:pPr>
      <w:r>
        <w:rPr>
          <w:b/>
          <w:color w:val="000000"/>
          <w:sz w:val="22"/>
          <w:szCs w:val="22"/>
        </w:rPr>
        <w:t>Obecné postřehy</w:t>
      </w:r>
    </w:p>
    <w:p>
      <w:pPr>
        <w:pStyle w:val="Normal"/>
        <w:numPr>
          <w:ilvl w:val="0"/>
          <w:numId w:val="1"/>
        </w:numPr>
        <w:pBdr/>
        <w:spacing w:lineRule="auto" w:line="259" w:before="0" w:after="160"/>
        <w:rPr>
          <w:color w:val="000000"/>
          <w:sz w:val="22"/>
          <w:szCs w:val="22"/>
        </w:rPr>
      </w:pPr>
      <w:r>
        <w:rPr>
          <w:color w:val="000000"/>
          <w:sz w:val="22"/>
          <w:szCs w:val="22"/>
        </w:rPr>
        <w:t>Po zemědělcích se stále více požaduje (v rámci společné zemědělské politiky, tlaku veřejnosti a odborně – zájmových organizací, MZe, MŽP, atd.) zohledňování mimoprodukčních aspektů zemědělství (jinými slovy, po zemědělcích se požaduje naplňování veřejných služeb), jako je udržování ekosystémových služeb, zvyšování biodiverzity, atd. Pokud bude město jako vlastník pozemků požadovat postupný přechod na udržitelné hospodaření, je vhodné stanovit kompenzace, např. ve formě snížených poplatků (v krátkodobém horizontu může docházet ke snížení produkce v důsledku zavádění různých opatření).</w:t>
      </w:r>
    </w:p>
    <w:p>
      <w:pPr>
        <w:pStyle w:val="Normal"/>
        <w:numPr>
          <w:ilvl w:val="0"/>
          <w:numId w:val="1"/>
        </w:numPr>
        <w:pBdr/>
        <w:spacing w:lineRule="auto" w:line="259" w:before="0" w:after="160"/>
        <w:rPr>
          <w:color w:val="000000"/>
          <w:sz w:val="22"/>
          <w:szCs w:val="22"/>
        </w:rPr>
      </w:pPr>
      <w:r>
        <w:rPr>
          <w:color w:val="000000"/>
          <w:sz w:val="22"/>
          <w:szCs w:val="22"/>
        </w:rPr>
        <w:t>První metodika pachtovní smlouvy vznikla v roce 2005 na popud diecéze, která chtěla, aby hodnota jejich majetku neklesala.</w:t>
      </w:r>
    </w:p>
    <w:p>
      <w:pPr>
        <w:pStyle w:val="Normal"/>
        <w:numPr>
          <w:ilvl w:val="0"/>
          <w:numId w:val="1"/>
        </w:numPr>
        <w:pBdr/>
        <w:spacing w:lineRule="auto" w:line="259"/>
        <w:rPr>
          <w:color w:val="000000"/>
          <w:sz w:val="22"/>
          <w:szCs w:val="22"/>
        </w:rPr>
      </w:pPr>
      <w:r>
        <w:rPr>
          <w:color w:val="000000"/>
          <w:sz w:val="22"/>
          <w:szCs w:val="22"/>
        </w:rPr>
        <w:t xml:space="preserve">Je vhodné vyjít vstříc zemědělcům a smlouvu stanovit na delší dobu, jinak nebude motivace ze strany zemědělce investovat do půdy. </w:t>
      </w:r>
    </w:p>
    <w:p>
      <w:pPr>
        <w:pStyle w:val="Normal"/>
        <w:numPr>
          <w:ilvl w:val="0"/>
          <w:numId w:val="1"/>
        </w:numPr>
        <w:pBdr/>
        <w:spacing w:lineRule="auto" w:line="259"/>
        <w:rPr>
          <w:color w:val="000000"/>
          <w:sz w:val="22"/>
          <w:szCs w:val="22"/>
        </w:rPr>
      </w:pPr>
      <w:r>
        <w:rPr>
          <w:color w:val="000000"/>
          <w:sz w:val="22"/>
          <w:szCs w:val="22"/>
        </w:rPr>
        <w:t>Je zkušenost s tím, že v případě žaloby za nedodržení stanovených podmínek se velice složitě prokazuje, zda se jedná o mimořádnou epizodu, nebo pochybení zemědělce. Nestačí udělat sondy na strategických místech, ale na každém jednotlivém pozemku. Soud to v případě konfliktu vyžaduje. To ale znamená velké výdaje za sondy.</w:t>
      </w:r>
    </w:p>
    <w:p>
      <w:pPr>
        <w:pStyle w:val="Normal"/>
        <w:numPr>
          <w:ilvl w:val="0"/>
          <w:numId w:val="1"/>
        </w:numPr>
        <w:pBdr/>
        <w:spacing w:lineRule="auto" w:line="259"/>
        <w:rPr>
          <w:color w:val="000000"/>
          <w:sz w:val="22"/>
          <w:szCs w:val="22"/>
        </w:rPr>
      </w:pPr>
      <w:r>
        <w:rPr>
          <w:color w:val="000000"/>
          <w:sz w:val="22"/>
          <w:szCs w:val="22"/>
        </w:rPr>
        <w:t xml:space="preserve">Zemědělec je limitován, pokud se do smlouvy stanoví, co má přesně dělat. Neexistuje univerzální opatření, práce s půdou je dlouhodobý proces. </w:t>
      </w:r>
    </w:p>
    <w:p>
      <w:pPr>
        <w:pStyle w:val="Normal"/>
        <w:numPr>
          <w:ilvl w:val="0"/>
          <w:numId w:val="2"/>
        </w:numPr>
        <w:pBdr/>
        <w:spacing w:lineRule="auto" w:line="259"/>
        <w:rPr>
          <w:color w:val="000000"/>
          <w:sz w:val="22"/>
          <w:szCs w:val="22"/>
        </w:rPr>
      </w:pPr>
      <w:r>
        <w:rPr>
          <w:color w:val="000000"/>
          <w:sz w:val="22"/>
          <w:szCs w:val="22"/>
        </w:rPr>
        <w:t>Dle zkušenosti tvůrců metodiky pachtovních smluv není nutné přesně specifikovat co a jak je nutné dělat, na zemědělce funguje jako „bič“ působí již zmínka o kontrole, bez nutnosti dalších specifikací konkrétní praxe. Zemědělci se kontrol bojí a podle zaměstnanců VÚMOP  se začali chovat odpovědněji i bez konkrétních specifikací ze strany majitele půdy (dodržovali více zásady správné zemědělské praxe)</w:t>
      </w:r>
    </w:p>
    <w:p>
      <w:pPr>
        <w:pStyle w:val="Normal"/>
        <w:numPr>
          <w:ilvl w:val="0"/>
          <w:numId w:val="1"/>
        </w:numPr>
        <w:pBdr/>
        <w:spacing w:lineRule="auto" w:line="259"/>
        <w:rPr>
          <w:color w:val="000000"/>
          <w:sz w:val="22"/>
          <w:szCs w:val="22"/>
        </w:rPr>
      </w:pPr>
      <w:r>
        <w:rPr>
          <w:color w:val="000000"/>
          <w:sz w:val="22"/>
          <w:szCs w:val="22"/>
        </w:rPr>
        <w:t xml:space="preserve">Zkoumání organické hmoty v půdě, potažmo zjišťování navyšování organické hmoty v půdě je nesmírně komplexní problematika, kterou nelze zajistit pouze tím, že se to dá do smlouvy jako podmínka. Musela by se totiž nastavit zcela nová metodika jak organiku v půdě zkoumat, kdo a za jaké finance jí bude zkoumat a také, je celá řada způsobů, jak lze zajišťovat zvyšování organické hmoty. Navíc, zvýšení organické hmoty v půdě neznamená automaticky lepší stav půdy. </w:t>
      </w:r>
      <w:r>
        <w:rPr>
          <w:b/>
          <w:color w:val="000000"/>
          <w:sz w:val="22"/>
          <w:szCs w:val="22"/>
        </w:rPr>
        <w:t xml:space="preserve">Obsah organické hmoty v půdě neříká téměř nic o tom, jak se na pozemku hospodaří. </w:t>
      </w:r>
    </w:p>
    <w:p>
      <w:pPr>
        <w:pStyle w:val="Normal"/>
        <w:numPr>
          <w:ilvl w:val="0"/>
          <w:numId w:val="1"/>
        </w:numPr>
        <w:pBdr/>
        <w:spacing w:lineRule="auto" w:line="259"/>
        <w:rPr>
          <w:color w:val="000000"/>
          <w:sz w:val="22"/>
          <w:szCs w:val="22"/>
        </w:rPr>
      </w:pPr>
      <w:r>
        <w:rPr>
          <w:color w:val="000000"/>
          <w:sz w:val="22"/>
          <w:szCs w:val="22"/>
        </w:rPr>
        <w:t>Pachtovní smlouva chrání obě strany</w:t>
      </w:r>
    </w:p>
    <w:p>
      <w:pPr>
        <w:pStyle w:val="Normal"/>
        <w:pBdr/>
        <w:spacing w:lineRule="auto" w:line="259"/>
        <w:ind w:left="720" w:hanging="720"/>
        <w:rPr>
          <w:color w:val="000000"/>
          <w:sz w:val="22"/>
          <w:szCs w:val="22"/>
        </w:rPr>
      </w:pPr>
      <w:r>
        <w:rPr>
          <w:color w:val="000000"/>
          <w:sz w:val="22"/>
          <w:szCs w:val="22"/>
        </w:rPr>
      </w:r>
    </w:p>
    <w:p>
      <w:pPr>
        <w:pStyle w:val="Normal"/>
        <w:pBdr/>
        <w:spacing w:lineRule="auto" w:line="259" w:before="0" w:after="160"/>
        <w:rPr>
          <w:color w:val="000000"/>
          <w:sz w:val="22"/>
          <w:szCs w:val="22"/>
        </w:rPr>
      </w:pPr>
      <w:r>
        <w:rPr>
          <w:color w:val="000000"/>
          <w:sz w:val="22"/>
          <w:szCs w:val="22"/>
        </w:rPr>
      </w:r>
    </w:p>
    <w:p>
      <w:pPr>
        <w:pStyle w:val="Normal"/>
        <w:pBdr/>
        <w:spacing w:lineRule="auto" w:line="259" w:before="0" w:after="160"/>
        <w:jc w:val="center"/>
        <w:rPr>
          <w:color w:val="000000"/>
          <w:sz w:val="24"/>
          <w:szCs w:val="24"/>
        </w:rPr>
      </w:pPr>
      <w:r>
        <w:rPr>
          <w:b/>
          <w:color w:val="000000"/>
          <w:sz w:val="24"/>
          <w:szCs w:val="24"/>
        </w:rPr>
        <w:t>Doporučení</w:t>
      </w:r>
    </w:p>
    <w:p>
      <w:pPr>
        <w:pStyle w:val="Normal"/>
        <w:numPr>
          <w:ilvl w:val="0"/>
          <w:numId w:val="1"/>
        </w:numPr>
        <w:pBdr/>
        <w:spacing w:lineRule="auto" w:line="259"/>
        <w:rPr>
          <w:color w:val="000000"/>
          <w:sz w:val="22"/>
          <w:szCs w:val="22"/>
        </w:rPr>
      </w:pPr>
      <w:r>
        <w:rPr>
          <w:color w:val="000000"/>
          <w:sz w:val="22"/>
          <w:szCs w:val="22"/>
        </w:rPr>
        <w:t xml:space="preserve">Pokud má být cílem zlepšovat zemědělský půdní fond, nejkomplexnější způsob dosažení je postupný přechod na ekologické zemědělství. Jde o dlouhodobější nastavování, ale z hlediska udržování ekosystémových a mimoprodukčních služeb se jedná o nejprověřenější způsob, který vykazuje konzistentně nejlepší výsledky. </w:t>
      </w:r>
    </w:p>
    <w:p>
      <w:pPr>
        <w:pStyle w:val="Normal"/>
        <w:numPr>
          <w:ilvl w:val="0"/>
          <w:numId w:val="1"/>
        </w:numPr>
        <w:pBdr/>
        <w:spacing w:lineRule="auto" w:line="259"/>
        <w:rPr>
          <w:color w:val="000000"/>
          <w:sz w:val="22"/>
          <w:szCs w:val="22"/>
        </w:rPr>
      </w:pPr>
      <w:r>
        <w:rPr>
          <w:color w:val="000000"/>
          <w:sz w:val="22"/>
          <w:szCs w:val="22"/>
        </w:rPr>
        <w:t xml:space="preserve">Vytváření a nastavování nových indikátorů, metodika kontrol je velice náročná disciplína, vhodnější je využít stávajících, progresivních směrnic v rámci zákona o EZ. Obecně, státy EU cíleně navyšují podíl EZ (Bavorsko chce dosáhnout 20% EZ do roku 2030, Belgie chce zcela opustit používání pesticidů do roku 2035, atd.). </w:t>
      </w:r>
    </w:p>
    <w:p>
      <w:pPr>
        <w:pStyle w:val="Normal"/>
        <w:numPr>
          <w:ilvl w:val="0"/>
          <w:numId w:val="1"/>
        </w:numPr>
        <w:pBdr/>
        <w:spacing w:lineRule="auto" w:line="259"/>
        <w:rPr/>
      </w:pPr>
      <w:r>
        <w:rPr>
          <w:color w:val="000000"/>
          <w:sz w:val="22"/>
          <w:szCs w:val="22"/>
        </w:rPr>
        <w:t xml:space="preserve">Další, méně ambiciózní, ale také vhodný nástroj je dodržování zásad správné zemědělské praxe </w:t>
      </w:r>
      <w:hyperlink r:id="rId2">
        <w:r>
          <w:rPr>
            <w:rStyle w:val="ListLabel37"/>
            <w:color w:val="0000FF"/>
            <w:sz w:val="22"/>
            <w:szCs w:val="22"/>
            <w:u w:val="single"/>
          </w:rPr>
          <w:t>http://eagri.cz/public/web/mze/zemedelstvi/legislativa/hnojiva/legislativa-cr/100048806.html</w:t>
        </w:r>
      </w:hyperlink>
    </w:p>
    <w:p>
      <w:pPr>
        <w:pStyle w:val="Normal"/>
        <w:numPr>
          <w:ilvl w:val="0"/>
          <w:numId w:val="1"/>
        </w:numPr>
        <w:pBdr/>
        <w:spacing w:lineRule="auto" w:line="259"/>
        <w:rPr/>
      </w:pPr>
      <w:r>
        <w:rPr>
          <w:color w:val="000000"/>
          <w:sz w:val="22"/>
          <w:szCs w:val="22"/>
        </w:rPr>
        <w:t xml:space="preserve">sledování bilance organické hmoty v půdě lze skrze </w:t>
      </w:r>
      <w:hyperlink r:id="rId3">
        <w:r>
          <w:rPr>
            <w:rStyle w:val="ListLabel37"/>
            <w:color w:val="0000FF"/>
            <w:sz w:val="22"/>
            <w:szCs w:val="22"/>
            <w:u w:val="single"/>
          </w:rPr>
          <w:t>www.organickahmota.cz</w:t>
        </w:r>
      </w:hyperlink>
      <w:r>
        <w:rPr>
          <w:color w:val="000000"/>
          <w:sz w:val="22"/>
          <w:szCs w:val="22"/>
        </w:rPr>
        <w:t xml:space="preserve"> – V ČR je sledování dobrovolné, např. v Německu je to povinnost, pokud subjekt žádá o dotace. V novém návrhu na společnou zemědělskou politiku EU po roce 2020 je návrh na povinné sledování.</w:t>
      </w:r>
    </w:p>
    <w:p>
      <w:pPr>
        <w:pStyle w:val="Normal"/>
        <w:numPr>
          <w:ilvl w:val="0"/>
          <w:numId w:val="1"/>
        </w:numPr>
        <w:pBdr/>
        <w:spacing w:lineRule="auto" w:line="259"/>
        <w:rPr/>
      </w:pPr>
      <w:r>
        <w:rPr>
          <w:color w:val="000000"/>
          <w:sz w:val="22"/>
          <w:szCs w:val="22"/>
        </w:rPr>
        <w:t>lpis (</w:t>
      </w:r>
      <w:hyperlink r:id="rId4">
        <w:r>
          <w:rPr>
            <w:rStyle w:val="ListLabel37"/>
            <w:color w:val="0000FF"/>
            <w:sz w:val="22"/>
            <w:szCs w:val="22"/>
            <w:u w:val="single"/>
          </w:rPr>
          <w:t>http://eagri.cz/public/app/lpisext/lpis/verejny2/plpis/</w:t>
        </w:r>
      </w:hyperlink>
      <w:r>
        <w:rPr>
          <w:color w:val="000000"/>
          <w:sz w:val="22"/>
          <w:szCs w:val="22"/>
        </w:rPr>
        <w:t>) lze zjistit, jak jsou půdy ohroženy na dané lokalitě, VÚMOP může vytvořit doporučení co pěstovat a jak. Toto doporučení může obsahovat např. důslednější vyhnojení v konkrétní části pozemku, zavedení protierozních opatření, zatravnění části pozemku, meziplodiny, atd. Tyto sondy a příprava doporučujících opatření jsou finančně nákladné.</w:t>
      </w:r>
    </w:p>
    <w:p>
      <w:pPr>
        <w:pStyle w:val="Normal"/>
        <w:numPr>
          <w:ilvl w:val="0"/>
          <w:numId w:val="2"/>
        </w:numPr>
        <w:pBdr/>
        <w:spacing w:lineRule="auto" w:line="259"/>
        <w:rPr>
          <w:color w:val="000000"/>
          <w:sz w:val="22"/>
          <w:szCs w:val="22"/>
        </w:rPr>
      </w:pPr>
      <w:r>
        <w:rPr>
          <w:color w:val="000000"/>
          <w:sz w:val="22"/>
          <w:szCs w:val="22"/>
        </w:rPr>
        <w:t>Předpisy stanovit co nejjednodušší a obecně, smlouva by se neměla rozsypat do detailů</w:t>
      </w:r>
    </w:p>
    <w:p>
      <w:pPr>
        <w:pStyle w:val="Normal"/>
        <w:numPr>
          <w:ilvl w:val="0"/>
          <w:numId w:val="2"/>
        </w:numPr>
        <w:pBdr/>
        <w:spacing w:lineRule="auto" w:line="259"/>
        <w:rPr>
          <w:color w:val="000000"/>
          <w:sz w:val="22"/>
          <w:szCs w:val="22"/>
        </w:rPr>
      </w:pPr>
      <w:r>
        <w:rPr>
          <w:color w:val="000000"/>
          <w:sz w:val="22"/>
          <w:szCs w:val="22"/>
        </w:rPr>
        <w:t>Po rozboru výchozího stavu půdy dát do přílohy smlouvy detaily nedostatků půdy a doporučení, jakých úprav je potřeba, případně co nepěstovat vůbec. Kontrolu může provést VÚMOP nebo státní pozemkový úřad. Rozbory lze začlenit do dotací, které zemědělci přijímají.</w:t>
      </w:r>
    </w:p>
    <w:p>
      <w:pPr>
        <w:pStyle w:val="Normal"/>
        <w:numPr>
          <w:ilvl w:val="0"/>
          <w:numId w:val="2"/>
        </w:numPr>
        <w:pBdr/>
        <w:spacing w:lineRule="auto" w:line="259"/>
        <w:rPr>
          <w:color w:val="000000"/>
          <w:sz w:val="22"/>
          <w:szCs w:val="22"/>
        </w:rPr>
      </w:pPr>
      <w:r>
        <w:rPr>
          <w:color w:val="000000"/>
          <w:sz w:val="22"/>
          <w:szCs w:val="22"/>
        </w:rPr>
        <w:t>Rozbory nutno dělat v akreditované laboratoři, v případě soudního je nutné mít spolehlivý zdroj.</w:t>
      </w:r>
    </w:p>
    <w:p>
      <w:pPr>
        <w:pStyle w:val="Normal"/>
        <w:numPr>
          <w:ilvl w:val="0"/>
          <w:numId w:val="2"/>
        </w:numPr>
        <w:pBdr/>
        <w:spacing w:lineRule="auto" w:line="259"/>
        <w:rPr>
          <w:color w:val="000000"/>
          <w:sz w:val="22"/>
          <w:szCs w:val="22"/>
        </w:rPr>
      </w:pPr>
      <w:r>
        <w:rPr>
          <w:color w:val="000000"/>
          <w:sz w:val="22"/>
          <w:szCs w:val="22"/>
        </w:rPr>
        <w:t>Zajistit pro zemědělce úvodní školení. Např. tzv. rýčová zkouška, kterou si sami zemědělci mohou kontrolovat stav půdy</w:t>
      </w:r>
    </w:p>
    <w:p>
      <w:pPr>
        <w:pStyle w:val="Normal"/>
        <w:numPr>
          <w:ilvl w:val="0"/>
          <w:numId w:val="2"/>
        </w:numPr>
        <w:pBdr/>
        <w:spacing w:lineRule="auto" w:line="259"/>
        <w:rPr>
          <w:color w:val="000000"/>
          <w:sz w:val="22"/>
          <w:szCs w:val="22"/>
        </w:rPr>
      </w:pPr>
      <w:r>
        <w:rPr>
          <w:color w:val="000000"/>
          <w:sz w:val="22"/>
          <w:szCs w:val="22"/>
        </w:rPr>
        <w:t xml:space="preserve">Dát do podmínek, že zemědělec se bude účastnit pravidelných školení a výjezdů (např. na demonstrační farmy, případně na farmy v okolí. </w:t>
      </w:r>
    </w:p>
    <w:p>
      <w:pPr>
        <w:pStyle w:val="Normal"/>
        <w:numPr>
          <w:ilvl w:val="0"/>
          <w:numId w:val="2"/>
        </w:numPr>
        <w:pBdr/>
        <w:spacing w:lineRule="auto" w:line="259"/>
        <w:rPr>
          <w:color w:val="000000"/>
          <w:sz w:val="22"/>
          <w:szCs w:val="22"/>
        </w:rPr>
      </w:pPr>
      <w:r>
        <w:rPr>
          <w:color w:val="000000"/>
          <w:sz w:val="22"/>
          <w:szCs w:val="22"/>
        </w:rPr>
        <w:t xml:space="preserve">Napsat do přílohy doporučení, co by se mělo na pozemku dodržovat a dodatek, že pokud vznikne podezření z nedodržování, bude povolán soudní znalec. </w:t>
      </w:r>
    </w:p>
    <w:p>
      <w:pPr>
        <w:pStyle w:val="Normal"/>
        <w:numPr>
          <w:ilvl w:val="0"/>
          <w:numId w:val="2"/>
        </w:numPr>
        <w:pBdr/>
        <w:spacing w:lineRule="auto" w:line="259"/>
        <w:rPr>
          <w:color w:val="000000"/>
          <w:sz w:val="22"/>
          <w:szCs w:val="22"/>
        </w:rPr>
      </w:pPr>
      <w:r>
        <w:rPr>
          <w:color w:val="000000"/>
          <w:sz w:val="22"/>
          <w:szCs w:val="22"/>
        </w:rPr>
        <w:t xml:space="preserve">Požadovat pravidelný výkaz/deklaraci zemědělce, jak splňuje zákon o ochraně půdního fondu, tedy jak splňuje chemické, biologické a organické vlastnosti půdy. </w:t>
      </w:r>
    </w:p>
    <w:p>
      <w:pPr>
        <w:pStyle w:val="Normal"/>
        <w:numPr>
          <w:ilvl w:val="0"/>
          <w:numId w:val="2"/>
        </w:numPr>
        <w:pBdr/>
        <w:spacing w:lineRule="auto" w:line="259"/>
        <w:rPr/>
      </w:pPr>
      <w:r>
        <w:rPr>
          <w:color w:val="000000"/>
          <w:sz w:val="22"/>
          <w:szCs w:val="22"/>
        </w:rPr>
        <w:t xml:space="preserve">Požadovat změnu praxe rok po podepsání smlouvy, v mezičase by měli navštěvovat výjezdy na demonstrační farmy a ideálně investovat do školení o dobré hospodářské praxi. Specialistkou na tyto školení je Alena Malíková </w:t>
      </w:r>
      <w:hyperlink r:id="rId5">
        <w:r>
          <w:rPr>
            <w:rStyle w:val="ListLabel37"/>
            <w:color w:val="0000FF"/>
            <w:sz w:val="22"/>
            <w:szCs w:val="22"/>
            <w:u w:val="single"/>
          </w:rPr>
          <w:t>http://bioinstitut.cz/cz/o-nas/tym</w:t>
        </w:r>
      </w:hyperlink>
    </w:p>
    <w:p>
      <w:pPr>
        <w:pStyle w:val="Normal"/>
        <w:numPr>
          <w:ilvl w:val="0"/>
          <w:numId w:val="2"/>
        </w:numPr>
        <w:pBdr/>
        <w:spacing w:lineRule="auto" w:line="259" w:before="0" w:after="160"/>
        <w:rPr>
          <w:color w:val="000000"/>
          <w:sz w:val="22"/>
          <w:szCs w:val="22"/>
        </w:rPr>
      </w:pPr>
      <w:r>
        <w:rPr>
          <w:color w:val="000000"/>
          <w:sz w:val="22"/>
          <w:szCs w:val="22"/>
        </w:rPr>
        <w:t xml:space="preserve">27.8. bude prohlídka s odborným výkladem demonstrační farmy Petra Marady v Šardicích </w:t>
      </w:r>
    </w:p>
    <w:p>
      <w:pPr>
        <w:pStyle w:val="Normal"/>
        <w:pBdr/>
        <w:spacing w:lineRule="auto" w:line="259" w:before="0" w:after="160"/>
        <w:jc w:val="center"/>
        <w:rPr>
          <w:color w:val="000000"/>
          <w:sz w:val="22"/>
          <w:szCs w:val="22"/>
        </w:rPr>
      </w:pPr>
      <w:r>
        <w:rPr>
          <w:b/>
          <w:color w:val="000000"/>
          <w:sz w:val="22"/>
          <w:szCs w:val="22"/>
        </w:rPr>
        <w:t>Závěr</w:t>
      </w:r>
    </w:p>
    <w:p>
      <w:pPr>
        <w:pStyle w:val="Normal"/>
        <w:numPr>
          <w:ilvl w:val="0"/>
          <w:numId w:val="3"/>
        </w:numPr>
        <w:pBdr/>
        <w:spacing w:lineRule="auto" w:line="259" w:before="0" w:after="160"/>
        <w:rPr>
          <w:color w:val="000000"/>
          <w:sz w:val="22"/>
          <w:szCs w:val="22"/>
        </w:rPr>
      </w:pPr>
      <w:r>
        <w:rPr>
          <w:color w:val="000000"/>
          <w:sz w:val="22"/>
          <w:szCs w:val="22"/>
        </w:rPr>
        <w:t xml:space="preserve">Na základě konzultací s experty a autory metodiky a pachtovních smluv, vzhledem k velice krátké době, která je na přípravu a projednání pachtovní smlouvy, je doporučení pro tuto chvíli použít pachtovní smlouvu, která byla vytvořena pro město Příbor. V tomto případě bylo totožné zadání jako v případě Tábora, a prošlo se celým procesem nastavování. </w:t>
      </w:r>
    </w:p>
    <w:p>
      <w:pPr>
        <w:pStyle w:val="Normal"/>
        <w:numPr>
          <w:ilvl w:val="0"/>
          <w:numId w:val="3"/>
        </w:numPr>
        <w:pBdr/>
        <w:spacing w:lineRule="auto" w:line="259" w:before="0" w:after="160"/>
        <w:rPr>
          <w:color w:val="000000"/>
          <w:sz w:val="22"/>
          <w:szCs w:val="22"/>
        </w:rPr>
      </w:pPr>
      <w:r>
        <w:rPr>
          <w:color w:val="000000"/>
          <w:sz w:val="22"/>
          <w:szCs w:val="22"/>
        </w:rPr>
        <w:t xml:space="preserve">Zajistit pravidelná školení pro zemědělce a investovat do jejich dalšího vzdělávání a poznávání příkladů dobré praxe. </w:t>
      </w:r>
    </w:p>
    <w:p>
      <w:pPr>
        <w:pStyle w:val="Normal"/>
        <w:numPr>
          <w:ilvl w:val="0"/>
          <w:numId w:val="3"/>
        </w:numPr>
        <w:pBdr/>
        <w:spacing w:lineRule="auto" w:line="259" w:before="0" w:after="160"/>
        <w:rPr>
          <w:color w:val="000000"/>
          <w:sz w:val="22"/>
          <w:szCs w:val="22"/>
        </w:rPr>
      </w:pPr>
      <w:r>
        <w:rPr>
          <w:color w:val="000000"/>
          <w:sz w:val="22"/>
          <w:szCs w:val="22"/>
        </w:rPr>
        <w:t> </w:t>
      </w:r>
      <w:r>
        <w:rPr>
          <w:color w:val="000000"/>
          <w:sz w:val="22"/>
          <w:szCs w:val="22"/>
        </w:rPr>
        <w:t>Zadat do agendy Pirátského týmu pro zemědělství problematiku pachtovních smluv. Spolupráce s Nadace partnerství na metodice pachtovních smluv pro města a majitele pozemků.</w:t>
      </w:r>
    </w:p>
    <w:p>
      <w:pPr>
        <w:pStyle w:val="Normal"/>
        <w:pBdr/>
        <w:spacing w:lineRule="auto" w:line="259" w:before="0" w:after="160"/>
        <w:ind w:left="720" w:hanging="0"/>
        <w:rPr>
          <w:color w:val="000000"/>
          <w:sz w:val="22"/>
          <w:szCs w:val="22"/>
        </w:rPr>
      </w:pPr>
      <w:r>
        <w:rPr>
          <w:color w:val="000000"/>
          <w:sz w:val="22"/>
          <w:szCs w:val="22"/>
        </w:rPr>
      </w:r>
    </w:p>
    <w:p>
      <w:pPr>
        <w:pStyle w:val="Normal"/>
        <w:pBdr/>
        <w:spacing w:lineRule="auto" w:line="259" w:before="0" w:after="160"/>
        <w:rPr/>
      </w:pPr>
      <w:r>
        <w:rPr/>
      </w:r>
    </w:p>
    <w:sectPr>
      <w:type w:val="nextPage"/>
      <w:pgSz w:w="11906" w:h="16838"/>
      <w:pgMar w:left="1417" w:right="1417" w:header="720" w:top="1417" w:footer="720" w:bottom="1417"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1"/>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vertAlign w:val="baseline"/>
        <w:position w:val="0"/>
        <w:sz w:val="22"/>
        <w:sz w:val="22"/>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rFonts w:cs="Noto Sans Symbols"/>
      </w:rPr>
    </w:lvl>
  </w:abstractNum>
  <w:abstractNum w:abstractNumId="2">
    <w:lvl w:ilvl="0">
      <w:start w:val="1"/>
      <w:numFmt w:val="bullet"/>
      <w:lvlText w:val="●"/>
      <w:lvlJc w:val="left"/>
      <w:pPr>
        <w:ind w:left="720" w:hanging="360"/>
      </w:pPr>
      <w:rPr>
        <w:rFonts w:ascii="Noto Sans Symbols" w:hAnsi="Noto Sans Symbols" w:cs="Noto Sans Symbols" w:hint="default"/>
        <w:vertAlign w:val="baseline"/>
        <w:position w:val="0"/>
        <w:sz w:val="22"/>
        <w:sz w:val="22"/>
        <w:rFonts w:cs="Noto Sans Symbols"/>
      </w:rPr>
    </w:lvl>
    <w:lvl w:ilvl="1">
      <w:start w:val="1"/>
      <w:numFmt w:val="bullet"/>
      <w:lvlText w:val="o"/>
      <w:lvlJc w:val="left"/>
      <w:pPr>
        <w:ind w:left="1440" w:hanging="360"/>
      </w:pPr>
      <w:rPr>
        <w:rFonts w:ascii="Courier New" w:hAnsi="Courier New" w:cs="Courier New" w:hint="default"/>
        <w:vertAlign w:val="baseline"/>
        <w:position w:val="0"/>
        <w:sz w:val="20"/>
        <w:rFonts w:cs="Courier New"/>
      </w:rPr>
    </w:lvl>
    <w:lvl w:ilvl="2">
      <w:start w:val="1"/>
      <w:numFmt w:val="bullet"/>
      <w:lvlText w:val="▪"/>
      <w:lvlJc w:val="left"/>
      <w:pPr>
        <w:ind w:left="2160" w:hanging="360"/>
      </w:pPr>
      <w:rPr>
        <w:rFonts w:ascii="Noto Sans Symbols" w:hAnsi="Noto Sans Symbols" w:cs="Noto Sans Symbols" w:hint="default"/>
        <w:vertAlign w:val="baseline"/>
        <w:position w:val="0"/>
        <w:sz w:val="20"/>
        <w:rFonts w:cs="Noto Sans Symbols"/>
      </w:rPr>
    </w:lvl>
    <w:lvl w:ilvl="3">
      <w:start w:val="1"/>
      <w:numFmt w:val="bullet"/>
      <w:lvlText w:val="●"/>
      <w:lvlJc w:val="left"/>
      <w:pPr>
        <w:ind w:left="2880" w:hanging="360"/>
      </w:pPr>
      <w:rPr>
        <w:rFonts w:ascii="Noto Sans Symbols" w:hAnsi="Noto Sans Symbols" w:cs="Noto Sans Symbols" w:hint="default"/>
        <w:vertAlign w:val="baseline"/>
        <w:position w:val="0"/>
        <w:sz w:val="20"/>
        <w:rFonts w:cs="Noto Sans Symbols"/>
      </w:rPr>
    </w:lvl>
    <w:lvl w:ilvl="4">
      <w:start w:val="1"/>
      <w:numFmt w:val="bullet"/>
      <w:lvlText w:val="o"/>
      <w:lvlJc w:val="left"/>
      <w:pPr>
        <w:ind w:left="3600" w:hanging="360"/>
      </w:pPr>
      <w:rPr>
        <w:rFonts w:ascii="Courier New" w:hAnsi="Courier New" w:cs="Courier New" w:hint="default"/>
        <w:vertAlign w:val="baseline"/>
        <w:position w:val="0"/>
        <w:sz w:val="20"/>
        <w:rFonts w:cs="Courier New"/>
      </w:rPr>
    </w:lvl>
    <w:lvl w:ilvl="5">
      <w:start w:val="1"/>
      <w:numFmt w:val="bullet"/>
      <w:lvlText w:val="▪"/>
      <w:lvlJc w:val="left"/>
      <w:pPr>
        <w:ind w:left="4320" w:hanging="360"/>
      </w:pPr>
      <w:rPr>
        <w:rFonts w:ascii="Noto Sans Symbols" w:hAnsi="Noto Sans Symbols" w:cs="Noto Sans Symbols" w:hint="default"/>
        <w:vertAlign w:val="baseline"/>
        <w:position w:val="0"/>
        <w:sz w:val="20"/>
        <w:rFonts w:cs="Noto Sans Symbols"/>
      </w:rPr>
    </w:lvl>
    <w:lvl w:ilvl="6">
      <w:start w:val="1"/>
      <w:numFmt w:val="bullet"/>
      <w:lvlText w:val="●"/>
      <w:lvlJc w:val="left"/>
      <w:pPr>
        <w:ind w:left="5040" w:hanging="360"/>
      </w:pPr>
      <w:rPr>
        <w:rFonts w:ascii="Noto Sans Symbols" w:hAnsi="Noto Sans Symbols" w:cs="Noto Sans Symbols" w:hint="default"/>
        <w:vertAlign w:val="baseline"/>
        <w:position w:val="0"/>
        <w:sz w:val="20"/>
        <w:rFonts w:cs="Noto Sans Symbols"/>
      </w:rPr>
    </w:lvl>
    <w:lvl w:ilvl="7">
      <w:start w:val="1"/>
      <w:numFmt w:val="bullet"/>
      <w:lvlText w:val="o"/>
      <w:lvlJc w:val="left"/>
      <w:pPr>
        <w:ind w:left="5760" w:hanging="360"/>
      </w:pPr>
      <w:rPr>
        <w:rFonts w:ascii="Courier New" w:hAnsi="Courier New" w:cs="Courier New" w:hint="default"/>
        <w:vertAlign w:val="baseline"/>
        <w:position w:val="0"/>
        <w:sz w:val="20"/>
        <w:rFonts w:cs="Courier New"/>
      </w:rPr>
    </w:lvl>
    <w:lvl w:ilvl="8">
      <w:start w:val="1"/>
      <w:numFmt w:val="bullet"/>
      <w:lvlText w:val="▪"/>
      <w:lvlJc w:val="left"/>
      <w:pPr>
        <w:ind w:left="6480" w:hanging="360"/>
      </w:pPr>
      <w:rPr>
        <w:rFonts w:ascii="Noto Sans Symbols" w:hAnsi="Noto Sans Symbols" w:cs="Noto Sans Symbols" w:hint="default"/>
        <w:vertAlign w:val="baseline"/>
        <w:position w:val="0"/>
        <w:sz w:val="20"/>
        <w:rFonts w:cs="Noto Sans Symbols"/>
      </w:rPr>
    </w:lvl>
  </w:abstractNum>
  <w:abstractNum w:abstractNumId="3">
    <w:lvl w:ilvl="0">
      <w:start w:val="1"/>
      <w:numFmt w:val="decimal"/>
      <w:lvlText w:val="%1)"/>
      <w:lvlJc w:val="left"/>
      <w:pPr>
        <w:ind w:left="720" w:hanging="360"/>
      </w:pPr>
      <w:rPr>
        <w:vertAlign w:val="baseline"/>
        <w:position w:val="0"/>
        <w:sz w:val="22"/>
        <w:sz w:val="22"/>
      </w:rPr>
    </w:lvl>
    <w:lvl w:ilvl="1">
      <w:start w:val="1"/>
      <w:numFmt w:val="lowerLetter"/>
      <w:lvlText w:val="%2."/>
      <w:lvlJc w:val="left"/>
      <w:pPr>
        <w:ind w:left="1440" w:hanging="360"/>
      </w:pPr>
      <w:rPr>
        <w:vertAlign w:val="baseline"/>
        <w:position w:val="0"/>
        <w:sz w:val="20"/>
      </w:rPr>
    </w:lvl>
    <w:lvl w:ilvl="2">
      <w:start w:val="1"/>
      <w:numFmt w:val="lowerRoman"/>
      <w:lvlText w:val="%3."/>
      <w:lvlJc w:val="right"/>
      <w:pPr>
        <w:ind w:left="2160" w:hanging="180"/>
      </w:pPr>
      <w:rPr>
        <w:vertAlign w:val="baseline"/>
        <w:position w:val="0"/>
        <w:sz w:val="20"/>
      </w:rPr>
    </w:lvl>
    <w:lvl w:ilvl="3">
      <w:start w:val="1"/>
      <w:numFmt w:val="decimal"/>
      <w:lvlText w:val="%4."/>
      <w:lvlJc w:val="left"/>
      <w:pPr>
        <w:ind w:left="2880" w:hanging="360"/>
      </w:pPr>
      <w:rPr>
        <w:vertAlign w:val="baseline"/>
        <w:position w:val="0"/>
        <w:sz w:val="20"/>
      </w:rPr>
    </w:lvl>
    <w:lvl w:ilvl="4">
      <w:start w:val="1"/>
      <w:numFmt w:val="lowerLetter"/>
      <w:lvlText w:val="%5."/>
      <w:lvlJc w:val="left"/>
      <w:pPr>
        <w:ind w:left="3600" w:hanging="360"/>
      </w:pPr>
      <w:rPr>
        <w:vertAlign w:val="baseline"/>
        <w:position w:val="0"/>
        <w:sz w:val="20"/>
      </w:rPr>
    </w:lvl>
    <w:lvl w:ilvl="5">
      <w:start w:val="1"/>
      <w:numFmt w:val="lowerRoman"/>
      <w:lvlText w:val="%6."/>
      <w:lvlJc w:val="right"/>
      <w:pPr>
        <w:ind w:left="4320" w:hanging="180"/>
      </w:pPr>
      <w:rPr>
        <w:vertAlign w:val="baseline"/>
        <w:position w:val="0"/>
        <w:sz w:val="20"/>
      </w:rPr>
    </w:lvl>
    <w:lvl w:ilvl="6">
      <w:start w:val="1"/>
      <w:numFmt w:val="decimal"/>
      <w:lvlText w:val="%7."/>
      <w:lvlJc w:val="left"/>
      <w:pPr>
        <w:ind w:left="5040" w:hanging="360"/>
      </w:pPr>
      <w:rPr>
        <w:vertAlign w:val="baseline"/>
        <w:position w:val="0"/>
        <w:sz w:val="20"/>
      </w:rPr>
    </w:lvl>
    <w:lvl w:ilvl="7">
      <w:start w:val="1"/>
      <w:numFmt w:val="lowerLetter"/>
      <w:lvlText w:val="%8."/>
      <w:lvlJc w:val="left"/>
      <w:pPr>
        <w:ind w:left="5760" w:hanging="360"/>
      </w:pPr>
      <w:rPr>
        <w:vertAlign w:val="baseline"/>
        <w:position w:val="0"/>
        <w:sz w:val="20"/>
      </w:rPr>
    </w:lvl>
    <w:lvl w:ilvl="8">
      <w:start w:val="1"/>
      <w:numFmt w:val="lowerRoman"/>
      <w:lvlText w:val="%9."/>
      <w:lvlJc w:val="right"/>
      <w:pPr>
        <w:ind w:left="6480" w:hanging="180"/>
      </w:pPr>
      <w:rPr>
        <w:vertAlign w:val="baseline"/>
        <w:position w:val="0"/>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cs-CZ" w:eastAsia="cs-CZ"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Calibri"/>
      <w:color w:val="auto"/>
      <w:kern w:val="0"/>
      <w:sz w:val="20"/>
      <w:szCs w:val="20"/>
      <w:lang w:val="cs-CZ" w:eastAsia="cs-CZ"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Noto Sans Symbols" w:cs="Noto Sans Symbols"/>
      <w:position w:val="0"/>
      <w:sz w:val="22"/>
      <w:sz w:val="22"/>
      <w:vertAlign w:val="baseline"/>
    </w:rPr>
  </w:style>
  <w:style w:type="character" w:styleId="ListLabel11">
    <w:name w:val="ListLabel 11"/>
    <w:qFormat/>
    <w:rPr>
      <w:rFonts w:eastAsia="Courier New" w:cs="Courier New"/>
      <w:position w:val="0"/>
      <w:sz w:val="20"/>
      <w:vertAlign w:val="baseline"/>
    </w:rPr>
  </w:style>
  <w:style w:type="character" w:styleId="ListLabel12">
    <w:name w:val="ListLabel 12"/>
    <w:qFormat/>
    <w:rPr>
      <w:rFonts w:eastAsia="Noto Sans Symbols" w:cs="Noto Sans Symbols"/>
      <w:position w:val="0"/>
      <w:sz w:val="20"/>
      <w:vertAlign w:val="baseline"/>
    </w:rPr>
  </w:style>
  <w:style w:type="character" w:styleId="ListLabel13">
    <w:name w:val="ListLabel 13"/>
    <w:qFormat/>
    <w:rPr>
      <w:rFonts w:eastAsia="Noto Sans Symbols" w:cs="Noto Sans Symbols"/>
      <w:position w:val="0"/>
      <w:sz w:val="20"/>
      <w:vertAlign w:val="baseline"/>
    </w:rPr>
  </w:style>
  <w:style w:type="character" w:styleId="ListLabel14">
    <w:name w:val="ListLabel 14"/>
    <w:qFormat/>
    <w:rPr>
      <w:rFonts w:eastAsia="Courier New" w:cs="Courier New"/>
      <w:position w:val="0"/>
      <w:sz w:val="20"/>
      <w:vertAlign w:val="baseline"/>
    </w:rPr>
  </w:style>
  <w:style w:type="character" w:styleId="ListLabel15">
    <w:name w:val="ListLabel 15"/>
    <w:qFormat/>
    <w:rPr>
      <w:rFonts w:eastAsia="Noto Sans Symbols" w:cs="Noto Sans Symbols"/>
      <w:position w:val="0"/>
      <w:sz w:val="20"/>
      <w:vertAlign w:val="baseline"/>
    </w:rPr>
  </w:style>
  <w:style w:type="character" w:styleId="ListLabel16">
    <w:name w:val="ListLabel 16"/>
    <w:qFormat/>
    <w:rPr>
      <w:rFonts w:eastAsia="Noto Sans Symbols" w:cs="Noto Sans Symbols"/>
      <w:position w:val="0"/>
      <w:sz w:val="20"/>
      <w:vertAlign w:val="baseline"/>
    </w:rPr>
  </w:style>
  <w:style w:type="character" w:styleId="ListLabel17">
    <w:name w:val="ListLabel 17"/>
    <w:qFormat/>
    <w:rPr>
      <w:rFonts w:eastAsia="Courier New" w:cs="Courier New"/>
      <w:position w:val="0"/>
      <w:sz w:val="20"/>
      <w:vertAlign w:val="baseline"/>
    </w:rPr>
  </w:style>
  <w:style w:type="character" w:styleId="ListLabel18">
    <w:name w:val="ListLabel 18"/>
    <w:qFormat/>
    <w:rPr>
      <w:rFonts w:eastAsia="Noto Sans Symbols" w:cs="Noto Sans Symbols"/>
      <w:position w:val="0"/>
      <w:sz w:val="20"/>
      <w:vertAlign w:val="baseline"/>
    </w:rPr>
  </w:style>
  <w:style w:type="character" w:styleId="ListLabel19">
    <w:name w:val="ListLabel 19"/>
    <w:qFormat/>
    <w:rPr>
      <w:rFonts w:eastAsia="Noto Sans Symbols" w:cs="Noto Sans Symbols"/>
      <w:position w:val="0"/>
      <w:sz w:val="22"/>
      <w:sz w:val="22"/>
      <w:vertAlign w:val="baseline"/>
    </w:rPr>
  </w:style>
  <w:style w:type="character" w:styleId="ListLabel20">
    <w:name w:val="ListLabel 20"/>
    <w:qFormat/>
    <w:rPr>
      <w:rFonts w:eastAsia="Courier New" w:cs="Courier New"/>
      <w:position w:val="0"/>
      <w:sz w:val="20"/>
      <w:vertAlign w:val="baseline"/>
    </w:rPr>
  </w:style>
  <w:style w:type="character" w:styleId="ListLabel21">
    <w:name w:val="ListLabel 21"/>
    <w:qFormat/>
    <w:rPr>
      <w:rFonts w:eastAsia="Noto Sans Symbols" w:cs="Noto Sans Symbols"/>
      <w:position w:val="0"/>
      <w:sz w:val="20"/>
      <w:vertAlign w:val="baseline"/>
    </w:rPr>
  </w:style>
  <w:style w:type="character" w:styleId="ListLabel22">
    <w:name w:val="ListLabel 22"/>
    <w:qFormat/>
    <w:rPr>
      <w:rFonts w:eastAsia="Noto Sans Symbols" w:cs="Noto Sans Symbols"/>
      <w:position w:val="0"/>
      <w:sz w:val="20"/>
      <w:vertAlign w:val="baseline"/>
    </w:rPr>
  </w:style>
  <w:style w:type="character" w:styleId="ListLabel23">
    <w:name w:val="ListLabel 23"/>
    <w:qFormat/>
    <w:rPr>
      <w:rFonts w:eastAsia="Courier New" w:cs="Courier New"/>
      <w:position w:val="0"/>
      <w:sz w:val="20"/>
      <w:vertAlign w:val="baseline"/>
    </w:rPr>
  </w:style>
  <w:style w:type="character" w:styleId="ListLabel24">
    <w:name w:val="ListLabel 24"/>
    <w:qFormat/>
    <w:rPr>
      <w:rFonts w:eastAsia="Noto Sans Symbols" w:cs="Noto Sans Symbols"/>
      <w:position w:val="0"/>
      <w:sz w:val="20"/>
      <w:vertAlign w:val="baseline"/>
    </w:rPr>
  </w:style>
  <w:style w:type="character" w:styleId="ListLabel25">
    <w:name w:val="ListLabel 25"/>
    <w:qFormat/>
    <w:rPr>
      <w:rFonts w:eastAsia="Noto Sans Symbols" w:cs="Noto Sans Symbols"/>
      <w:position w:val="0"/>
      <w:sz w:val="20"/>
      <w:vertAlign w:val="baseline"/>
    </w:rPr>
  </w:style>
  <w:style w:type="character" w:styleId="ListLabel26">
    <w:name w:val="ListLabel 26"/>
    <w:qFormat/>
    <w:rPr>
      <w:rFonts w:eastAsia="Courier New" w:cs="Courier New"/>
      <w:position w:val="0"/>
      <w:sz w:val="20"/>
      <w:vertAlign w:val="baseline"/>
    </w:rPr>
  </w:style>
  <w:style w:type="character" w:styleId="ListLabel27">
    <w:name w:val="ListLabel 27"/>
    <w:qFormat/>
    <w:rPr>
      <w:rFonts w:eastAsia="Noto Sans Symbols" w:cs="Noto Sans Symbols"/>
      <w:position w:val="0"/>
      <w:sz w:val="20"/>
      <w:vertAlign w:val="baseline"/>
    </w:rPr>
  </w:style>
  <w:style w:type="character" w:styleId="ListLabel28">
    <w:name w:val="ListLabel 28"/>
    <w:qFormat/>
    <w:rPr>
      <w:position w:val="0"/>
      <w:sz w:val="22"/>
      <w:sz w:val="22"/>
      <w:vertAlign w:val="baseline"/>
    </w:rPr>
  </w:style>
  <w:style w:type="character" w:styleId="ListLabel29">
    <w:name w:val="ListLabel 29"/>
    <w:qFormat/>
    <w:rPr>
      <w:position w:val="0"/>
      <w:sz w:val="20"/>
      <w:vertAlign w:val="baseline"/>
    </w:rPr>
  </w:style>
  <w:style w:type="character" w:styleId="ListLabel30">
    <w:name w:val="ListLabel 30"/>
    <w:qFormat/>
    <w:rPr>
      <w:position w:val="0"/>
      <w:sz w:val="20"/>
      <w:vertAlign w:val="baseline"/>
    </w:rPr>
  </w:style>
  <w:style w:type="character" w:styleId="ListLabel31">
    <w:name w:val="ListLabel 31"/>
    <w:qFormat/>
    <w:rPr>
      <w:position w:val="0"/>
      <w:sz w:val="20"/>
      <w:vertAlign w:val="baseline"/>
    </w:rPr>
  </w:style>
  <w:style w:type="character" w:styleId="ListLabel32">
    <w:name w:val="ListLabel 32"/>
    <w:qFormat/>
    <w:rPr>
      <w:position w:val="0"/>
      <w:sz w:val="20"/>
      <w:vertAlign w:val="baseline"/>
    </w:rPr>
  </w:style>
  <w:style w:type="character" w:styleId="ListLabel33">
    <w:name w:val="ListLabel 33"/>
    <w:qFormat/>
    <w:rPr>
      <w:position w:val="0"/>
      <w:sz w:val="20"/>
      <w:vertAlign w:val="baseline"/>
    </w:rPr>
  </w:style>
  <w:style w:type="character" w:styleId="ListLabel34">
    <w:name w:val="ListLabel 34"/>
    <w:qFormat/>
    <w:rPr>
      <w:position w:val="0"/>
      <w:sz w:val="20"/>
      <w:vertAlign w:val="baseline"/>
    </w:rPr>
  </w:style>
  <w:style w:type="character" w:styleId="ListLabel35">
    <w:name w:val="ListLabel 35"/>
    <w:qFormat/>
    <w:rPr>
      <w:position w:val="0"/>
      <w:sz w:val="20"/>
      <w:vertAlign w:val="baseline"/>
    </w:rPr>
  </w:style>
  <w:style w:type="character" w:styleId="ListLabel36">
    <w:name w:val="ListLabel 36"/>
    <w:qFormat/>
    <w:rPr>
      <w:position w:val="0"/>
      <w:sz w:val="20"/>
      <w:vertAlign w:val="baseline"/>
    </w:rPr>
  </w:style>
  <w:style w:type="character" w:styleId="ListLabel37">
    <w:name w:val="ListLabel 37"/>
    <w:qFormat/>
    <w:rPr>
      <w:color w:val="0000FF"/>
      <w:sz w:val="22"/>
      <w:szCs w:val="22"/>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agri.cz/public/web/mze/zemedelstvi/legislativa/hnojiva/legislativa-cr/100048806.html" TargetMode="External"/><Relationship Id="rId3" Type="http://schemas.openxmlformats.org/officeDocument/2006/relationships/hyperlink" Target="http://www.organickahmota.cz/" TargetMode="External"/><Relationship Id="rId4" Type="http://schemas.openxmlformats.org/officeDocument/2006/relationships/hyperlink" Target="http://eagri.cz/public/app/lpisext/lpis/verejny2/plpis/" TargetMode="External"/><Relationship Id="rId5" Type="http://schemas.openxmlformats.org/officeDocument/2006/relationships/hyperlink" Target="http://bioinstitut.cz/cz/o-nas/ty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LibreOffice/6.2.0.3$Windows_X86_64 LibreOffice_project/98c6a8a1c6c7b144ce3cc729e34964b47ce25d62</Application>
  <Pages>2</Pages>
  <Words>851</Words>
  <Characters>5090</Characters>
  <CharactersWithSpaces>5902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2020-01-12T13:12:00Z</dcterms:created>
  <dc:creator>Jiří Lehejček</dc:creator>
  <dc:description/>
  <dc:language>en-GB</dc:language>
  <cp:lastModifiedBy>Jiří Lehejček</cp:lastModifiedBy>
  <dcterms:modified xsi:type="dcterms:W3CDTF">2020-01-12T13:12:00Z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