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D705BF">
        <w:t>4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3616930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2" w:name="_Toc473616931"/>
      <w:r>
        <w:t>sanasto, määritelmät ja termien selitykset</w:t>
      </w:r>
      <w:bookmarkEnd w:id="2"/>
    </w:p>
    <w:p w:rsidR="00D579F0" w:rsidRDefault="00D579F0" w:rsidP="00D579F0">
      <w:pPr>
        <w:pStyle w:val="BodyText"/>
        <w:rPr>
          <w:lang w:val="fi-FI"/>
        </w:rPr>
      </w:pPr>
    </w:p>
    <w:p w:rsidR="007D4E11" w:rsidRDefault="00531790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Microsoft </w:t>
      </w:r>
      <w:r w:rsidR="00EA10DE">
        <w:rPr>
          <w:color w:val="auto"/>
          <w:lang w:val="fi-FI"/>
        </w:rPr>
        <w:t>Dynamics NAV</w:t>
      </w:r>
      <w:r w:rsidR="008D624A">
        <w:rPr>
          <w:color w:val="auto"/>
          <w:lang w:val="fi-FI"/>
        </w:rPr>
        <w:t xml:space="preserve"> on Microsoftin julkaisema ohjelmisto.</w:t>
      </w:r>
    </w:p>
    <w:p w:rsidR="00EA10DE" w:rsidRDefault="00EA10DE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Korttitietokone</w:t>
      </w:r>
      <w:r w:rsidR="008D624A"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EA10DE" w:rsidRPr="007D4E11" w:rsidRDefault="00EA10DE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3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3"/>
      <w:r>
        <w:t>Nykytilanteen kuvaus</w:t>
      </w:r>
      <w:bookmarkEnd w:id="4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3616934"/>
      <w:r>
        <w:t>Tulevan tilanteen kuvaus ja toimitettavan järjestelmän käyttötarkoitus</w:t>
      </w:r>
      <w:bookmarkEnd w:id="5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6" w:name="_Toc47361693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10" w:name="_Toc473616936"/>
      <w:r>
        <w:lastRenderedPageBreak/>
        <w:t>Käyttäjät ja toimintaympäristö</w:t>
      </w:r>
      <w:bookmarkEnd w:id="8"/>
      <w:bookmarkEnd w:id="9"/>
      <w:bookmarkEnd w:id="10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3616937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2" w:name="_Toc473616938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3616939"/>
      <w:r>
        <w:t>Yleiskuvaus järjestelmän toiminnasta</w:t>
      </w:r>
      <w:bookmarkEnd w:id="13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4" w:name="_Toc473616940"/>
      <w:r>
        <w:t>Toiminnalliset vaatimukset</w:t>
      </w:r>
      <w:bookmarkEnd w:id="14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5" w:name="_Toc473616941"/>
      <w:r>
        <w:br w:type="page"/>
      </w:r>
    </w:p>
    <w:p w:rsidR="00AF3DC0" w:rsidRDefault="00AF3DC0" w:rsidP="00AF3DC0">
      <w:pPr>
        <w:pStyle w:val="Heading3"/>
      </w:pPr>
      <w:r>
        <w:lastRenderedPageBreak/>
        <w:t>Käyttötapauskaavio</w:t>
      </w:r>
      <w:bookmarkEnd w:id="15"/>
    </w:p>
    <w:p w:rsidR="001E4C5C" w:rsidRDefault="001E4C5C" w:rsidP="001E4C5C">
      <w:pPr>
        <w:pStyle w:val="BodyText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95pt;margin-top:14.65pt;width:410.7pt;height:438.25pt;z-index:251659264;mso-position-horizontal-relative:text;mso-position-vertical-relative:text;mso-width-relative:page;mso-height-relative:page">
            <v:imagedata r:id="rId8" o:title="Toiminnallinen kaavio"/>
            <w10:wrap type="square"/>
          </v:shape>
        </w:pict>
      </w: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1E4C5C" w:rsidP="001E4C5C">
      <w:pPr>
        <w:pStyle w:val="BodyText"/>
        <w:rPr>
          <w:lang w:val="fi-FI"/>
        </w:rPr>
      </w:pP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6" w:name="_Toc473616943"/>
      <w:r>
        <w:t>Ei-</w:t>
      </w:r>
      <w:r w:rsidR="001E4C5C">
        <w:t>T</w:t>
      </w:r>
      <w:r>
        <w:t>oiminnalliset vaatimukset</w:t>
      </w:r>
      <w:bookmarkEnd w:id="16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7" w:name="_Toc473616944"/>
      <w:r>
        <w:t>Kehitysvälineet</w:t>
      </w:r>
      <w:bookmarkEnd w:id="17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2"/>
      <w:r>
        <w:lastRenderedPageBreak/>
        <w:t>Huollot</w:t>
      </w:r>
      <w:bookmarkEnd w:id="25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6"/>
      <w:proofErr w:type="spellStart"/>
      <w:r>
        <w:t>Konfiguroitavuus</w:t>
      </w:r>
      <w:bookmarkEnd w:id="29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616960"/>
      <w:r>
        <w:t>Tiedostot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616963"/>
      <w:r>
        <w:t>Rajapinnat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lastRenderedPageBreak/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80" w:rsidRDefault="00021C80">
      <w:r>
        <w:separator/>
      </w:r>
    </w:p>
  </w:endnote>
  <w:endnote w:type="continuationSeparator" w:id="0">
    <w:p w:rsidR="00021C80" w:rsidRDefault="0002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4C5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1E4C5C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80" w:rsidRDefault="00021C80">
      <w:r>
        <w:separator/>
      </w:r>
    </w:p>
  </w:footnote>
  <w:footnote w:type="continuationSeparator" w:id="0">
    <w:p w:rsidR="00021C80" w:rsidRDefault="00021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1E4C5C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F3DC0"/>
    <w:rsid w:val="00B26939"/>
    <w:rsid w:val="00B408BA"/>
    <w:rsid w:val="00B57734"/>
    <w:rsid w:val="00B75D9B"/>
    <w:rsid w:val="00B8699D"/>
    <w:rsid w:val="00B92FF2"/>
    <w:rsid w:val="00BC68E6"/>
    <w:rsid w:val="00BE4F2F"/>
    <w:rsid w:val="00C20CFA"/>
    <w:rsid w:val="00C33F6B"/>
    <w:rsid w:val="00C42564"/>
    <w:rsid w:val="00C51C55"/>
    <w:rsid w:val="00C75104"/>
    <w:rsid w:val="00C862E3"/>
    <w:rsid w:val="00C92EDA"/>
    <w:rsid w:val="00C94149"/>
    <w:rsid w:val="00CA0245"/>
    <w:rsid w:val="00CA69EB"/>
    <w:rsid w:val="00CB7980"/>
    <w:rsid w:val="00D04733"/>
    <w:rsid w:val="00D56F64"/>
    <w:rsid w:val="00D579F0"/>
    <w:rsid w:val="00D705BF"/>
    <w:rsid w:val="00DD18A3"/>
    <w:rsid w:val="00DE7DDD"/>
    <w:rsid w:val="00E569E6"/>
    <w:rsid w:val="00E90F9A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6AFC31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1404</Words>
  <Characters>11377</Characters>
  <Application>Microsoft Office Word</Application>
  <DocSecurity>0</DocSecurity>
  <Lines>94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Siponen Teemu S.</cp:lastModifiedBy>
  <cp:revision>59</cp:revision>
  <cp:lastPrinted>1999-09-17T11:37:00Z</cp:lastPrinted>
  <dcterms:created xsi:type="dcterms:W3CDTF">2017-01-24T18:39:00Z</dcterms:created>
  <dcterms:modified xsi:type="dcterms:W3CDTF">2017-02-13T08:28:00Z</dcterms:modified>
</cp:coreProperties>
</file>